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01" w:hanging="801"/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Hlk117668646"/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ind w:left="801" w:hanging="801"/>
        <w:jc w:val="center"/>
        <w:rPr>
          <w:rFonts w:ascii="华文中宋" w:hAnsi="华文中宋" w:eastAsia="华文中宋"/>
          <w:b/>
          <w:color w:val="000000" w:themeColor="text1"/>
          <w:sz w:val="4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40"/>
          <w:szCs w:val="24"/>
          <w14:textFill>
            <w14:solidFill>
              <w14:schemeClr w14:val="tx1"/>
            </w14:solidFill>
          </w14:textFill>
        </w:rPr>
        <w:t>远程考试设备及环境准备要求</w:t>
      </w:r>
    </w:p>
    <w:bookmarkEnd w:id="0"/>
    <w:p>
      <w:pPr>
        <w:ind w:left="0" w:firstLine="0" w:firstLineChars="0"/>
        <w:rPr>
          <w:rFonts w:ascii="华文中宋" w:hAnsi="华文中宋" w:eastAsia="华文中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8" w:name="_GoBack"/>
      <w:bookmarkEnd w:id="18"/>
    </w:p>
    <w:p>
      <w:pPr>
        <w:ind w:left="0" w:firstLine="420" w:firstLineChars="200"/>
        <w:rPr>
          <w:rFonts w:ascii="华文中宋" w:hAnsi="华文中宋" w:eastAsia="华文中宋"/>
        </w:rPr>
      </w:pPr>
      <w:bookmarkStart w:id="1" w:name="_Hlk117668704"/>
      <w:r>
        <w:rPr>
          <w:rFonts w:hint="eastAsia" w:ascii="华文中宋" w:hAnsi="华文中宋" w:eastAsia="华文中宋"/>
        </w:rPr>
        <w:t>本次考试为在线考试形式，考生须提前准备</w:t>
      </w:r>
      <w:r>
        <w:rPr>
          <w:rFonts w:ascii="华文中宋" w:hAnsi="华文中宋" w:eastAsia="华文中宋"/>
        </w:rPr>
        <w:t>1台电脑作为考试设备、1部智能手机作为监控设，具体考试设备及环境要求如下:</w:t>
      </w:r>
      <w:bookmarkEnd w:id="1"/>
    </w:p>
    <w:p>
      <w:pPr>
        <w:pStyle w:val="3"/>
        <w:numPr>
          <w:ilvl w:val="0"/>
          <w:numId w:val="2"/>
        </w:numPr>
        <w:spacing w:after="156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113453154"/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用于在线考试的电脑：笔记本电脑或台式电脑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 xml:space="preserve"> 1台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-用于在线考试的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电脑</w:t>
      </w:r>
      <w:bookmarkEnd w:id="2"/>
    </w:p>
    <w:p>
      <w:pPr>
        <w:pStyle w:val="19"/>
        <w:widowControl w:val="0"/>
        <w:numPr>
          <w:ilvl w:val="0"/>
          <w:numId w:val="3"/>
        </w:numPr>
        <w:adjustRightInd/>
        <w:ind w:right="420" w:firstLineChars="0"/>
        <w:jc w:val="both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Toc113453156"/>
      <w:r>
        <w:rPr>
          <w:rFonts w:hint="eastAsia"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台式机或笔记本电脑</w:t>
      </w:r>
      <w:r>
        <w:rPr>
          <w:rFonts w:hint="eastAsia"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pStyle w:val="19"/>
        <w:widowControl w:val="0"/>
        <w:numPr>
          <w:ilvl w:val="2"/>
          <w:numId w:val="3"/>
        </w:numPr>
        <w:adjustRightInd/>
        <w:ind w:right="420" w:firstLineChars="0"/>
        <w:jc w:val="both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电脑操作系统要求为</w:t>
      </w:r>
      <w:r>
        <w:rPr>
          <w:rFonts w:ascii="华文中宋" w:hAnsi="华文中宋" w:eastAsia="华文中宋"/>
        </w:rPr>
        <w:t>Win7、Win10</w:t>
      </w:r>
      <w:r>
        <w:rPr>
          <w:rFonts w:hint="eastAsia" w:ascii="华文中宋" w:hAnsi="华文中宋" w:eastAsia="华文中宋"/>
        </w:rPr>
        <w:t>、Win</w:t>
      </w:r>
      <w:r>
        <w:rPr>
          <w:rFonts w:ascii="华文中宋" w:hAnsi="华文中宋" w:eastAsia="华文中宋"/>
        </w:rPr>
        <w:t>11或Mac OS 10.15</w:t>
      </w:r>
      <w:r>
        <w:rPr>
          <w:rFonts w:hint="eastAsia" w:ascii="华文中宋" w:hAnsi="华文中宋" w:eastAsia="华文中宋"/>
        </w:rPr>
        <w:t>.</w:t>
      </w:r>
      <w:r>
        <w:rPr>
          <w:rFonts w:ascii="华文中宋" w:hAnsi="华文中宋" w:eastAsia="华文中宋"/>
        </w:rPr>
        <w:t>7及以上</w:t>
      </w:r>
    </w:p>
    <w:p>
      <w:pPr>
        <w:pStyle w:val="19"/>
        <w:widowControl w:val="0"/>
        <w:numPr>
          <w:ilvl w:val="2"/>
          <w:numId w:val="3"/>
        </w:numPr>
        <w:adjustRightInd/>
        <w:ind w:right="420" w:firstLineChars="0"/>
        <w:jc w:val="both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最低配置要求为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CPU：双核；内存:4G；安装客户端硬盘空间&gt;2G</w:t>
      </w:r>
    </w:p>
    <w:p>
      <w:pPr>
        <w:pStyle w:val="19"/>
        <w:widowControl w:val="0"/>
        <w:numPr>
          <w:ilvl w:val="2"/>
          <w:numId w:val="3"/>
        </w:numPr>
        <w:adjustRightInd/>
        <w:ind w:right="420" w:firstLineChars="0"/>
        <w:jc w:val="both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不得使用平板电脑或移动设备</w:t>
      </w:r>
    </w:p>
    <w:p>
      <w:pPr>
        <w:pStyle w:val="19"/>
        <w:widowControl w:val="0"/>
        <w:numPr>
          <w:ilvl w:val="0"/>
          <w:numId w:val="3"/>
        </w:numPr>
        <w:adjustRightInd/>
        <w:ind w:right="420" w:firstLineChars="0"/>
        <w:jc w:val="both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摄像头：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内置或外置摄像头均可，用于登录拍照并作为考试的</w:t>
      </w:r>
      <w:r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主监控视角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摄像头。</w:t>
      </w:r>
    </w:p>
    <w:p>
      <w:pPr>
        <w:pStyle w:val="19"/>
        <w:widowControl w:val="0"/>
        <w:numPr>
          <w:ilvl w:val="0"/>
          <w:numId w:val="3"/>
        </w:numPr>
        <w:adjustRightInd/>
        <w:ind w:right="420" w:firstLineChars="0"/>
        <w:jc w:val="both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扬声器：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电脑需配备可用的内置或外置扬声器（不允许使用耳机耳麦），并提前调整扬声器音量到合适的大小。</w:t>
      </w:r>
    </w:p>
    <w:p>
      <w:pPr>
        <w:pStyle w:val="19"/>
        <w:widowControl w:val="0"/>
        <w:numPr>
          <w:ilvl w:val="0"/>
          <w:numId w:val="3"/>
        </w:numPr>
        <w:adjustRightInd/>
        <w:ind w:right="420" w:firstLineChars="0"/>
        <w:jc w:val="both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麦克风：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电脑需配备可用的内置或外置麦克风。</w:t>
      </w:r>
    </w:p>
    <w:p>
      <w:pPr>
        <w:pStyle w:val="3"/>
        <w:numPr>
          <w:ilvl w:val="1"/>
          <w:numId w:val="4"/>
        </w:numPr>
        <w:spacing w:after="156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Toc22858"/>
      <w:bookmarkStart w:id="5" w:name="_Toc22316"/>
      <w:bookmarkStart w:id="6" w:name="_Toc113472041"/>
      <w:bookmarkStart w:id="7" w:name="_Toc15977"/>
      <w:bookmarkStart w:id="8" w:name="_Toc25665"/>
      <w:bookmarkStart w:id="9" w:name="_Toc18322"/>
      <w:bookmarkStart w:id="10" w:name="_Toc18702"/>
      <w:bookmarkStart w:id="11" w:name="_Toc1972"/>
      <w:bookmarkStart w:id="12" w:name="_Toc19706"/>
      <w:bookmarkStart w:id="13" w:name="_Toc29391"/>
      <w:bookmarkStart w:id="14" w:name="_Toc113569015"/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第二视角（鹰眼）监控的设备：智</w:t>
      </w:r>
      <w:r>
        <w:rPr>
          <w:rFonts w:hint="eastAsia"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能</w:t>
      </w:r>
      <w:r>
        <w:rPr>
          <w:rFonts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手机</w:t>
      </w:r>
      <w:r>
        <w:rPr>
          <w:rFonts w:hint="eastAsia"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1部-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用于第二视角监控的设备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及支架</w:t>
      </w:r>
      <w:bookmarkEnd w:id="14"/>
    </w:p>
    <w:p>
      <w:pPr>
        <w:pStyle w:val="19"/>
        <w:numPr>
          <w:ilvl w:val="2"/>
          <w:numId w:val="5"/>
        </w:numPr>
        <w:ind w:leftChars="200" w:right="420" w:rightChars="20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带正常上网功能的</w:t>
      </w:r>
      <w:r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智</w:t>
      </w:r>
      <w:r>
        <w:rPr>
          <w:rFonts w:hint="eastAsia"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能</w:t>
      </w:r>
      <w:r>
        <w:rPr>
          <w:rFonts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手机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，必须带有可正常工作的摄像头</w:t>
      </w:r>
    </w:p>
    <w:p>
      <w:pPr>
        <w:pStyle w:val="19"/>
        <w:numPr>
          <w:ilvl w:val="2"/>
          <w:numId w:val="5"/>
        </w:numPr>
        <w:ind w:leftChars="200" w:right="420" w:rightChars="20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需要在考前开启设备免打扰模式，并选择拒绝所有来电和提醒。（如果第二视角（鹰眼）监控的设备被打断掉线，可重新扫码登录）</w:t>
      </w:r>
    </w:p>
    <w:p>
      <w:pPr>
        <w:ind w:right="420" w:rightChars="200" w:firstLine="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第二视角（鹰眼）监控的设备（第二视角监控）推荐使用的</w:t>
      </w:r>
      <w:r>
        <w:rPr>
          <w:rFonts w:hint="eastAsia"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浏览器要求如下</w:t>
      </w:r>
    </w:p>
    <w:tbl>
      <w:tblPr>
        <w:tblStyle w:val="11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2129"/>
        <w:gridCol w:w="3126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5" w:type="dxa"/>
            <w:tcBorders>
              <w:bottom w:val="single" w:color="auto" w:sz="4" w:space="0"/>
            </w:tcBorders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操作系统</w:t>
            </w:r>
          </w:p>
        </w:tc>
        <w:tc>
          <w:tcPr>
            <w:tcW w:w="2129" w:type="dxa"/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IOS</w:t>
            </w:r>
          </w:p>
        </w:tc>
        <w:tc>
          <w:tcPr>
            <w:tcW w:w="3126" w:type="dxa"/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Android</w:t>
            </w:r>
          </w:p>
        </w:tc>
        <w:tc>
          <w:tcPr>
            <w:tcW w:w="2444" w:type="dxa"/>
            <w:shd w:val="clear" w:color="auto" w:fill="00B05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鸿蒙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5" w:type="dxa"/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系统版本</w:t>
            </w:r>
          </w:p>
        </w:tc>
        <w:tc>
          <w:tcPr>
            <w:tcW w:w="21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IOS 1</w:t>
            </w:r>
            <w:r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Android 10+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HarmonyOS</w:t>
            </w:r>
            <w:r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5" w:type="dxa"/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浏览器</w:t>
            </w:r>
          </w:p>
        </w:tc>
        <w:tc>
          <w:tcPr>
            <w:tcW w:w="21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Safari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Edge、Chrome、华为花瓣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华为花瓣、Edge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5" w:type="dxa"/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摄像头</w:t>
            </w:r>
          </w:p>
        </w:tc>
        <w:tc>
          <w:tcPr>
            <w:tcW w:w="21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</w:tbl>
    <w:p>
      <w:pPr>
        <w:pStyle w:val="4"/>
        <w:ind w:left="400" w:hanging="400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 xml:space="preserve">表格 </w:t>
      </w:r>
      <w:r>
        <w:rPr>
          <w:rFonts w:ascii="华文中宋" w:hAnsi="华文中宋" w:eastAsia="华文中宋"/>
        </w:rPr>
        <w:fldChar w:fldCharType="begin"/>
      </w:r>
      <w:r>
        <w:rPr>
          <w:rFonts w:ascii="华文中宋" w:hAnsi="华文中宋" w:eastAsia="华文中宋"/>
        </w:rPr>
        <w:instrText xml:space="preserve"> </w:instrText>
      </w:r>
      <w:r>
        <w:rPr>
          <w:rFonts w:hint="eastAsia" w:ascii="华文中宋" w:hAnsi="华文中宋" w:eastAsia="华文中宋"/>
        </w:rPr>
        <w:instrText xml:space="preserve">SEQ 表格 \* ARABIC</w:instrText>
      </w:r>
      <w:r>
        <w:rPr>
          <w:rFonts w:ascii="华文中宋" w:hAnsi="华文中宋" w:eastAsia="华文中宋"/>
        </w:rPr>
        <w:instrText xml:space="preserve"> </w:instrText>
      </w:r>
      <w:r>
        <w:rPr>
          <w:rFonts w:ascii="华文中宋" w:hAnsi="华文中宋" w:eastAsia="华文中宋"/>
        </w:rPr>
        <w:fldChar w:fldCharType="separate"/>
      </w:r>
      <w:r>
        <w:rPr>
          <w:rFonts w:ascii="华文中宋" w:hAnsi="华文中宋" w:eastAsia="华文中宋"/>
        </w:rPr>
        <w:t>1</w:t>
      </w:r>
      <w:r>
        <w:rPr>
          <w:rFonts w:ascii="华文中宋" w:hAnsi="华文中宋" w:eastAsia="华文中宋"/>
        </w:rPr>
        <w:fldChar w:fldCharType="end"/>
      </w:r>
      <w:r>
        <w:rPr>
          <w:rFonts w:hint="eastAsia" w:ascii="华文中宋" w:hAnsi="华文中宋" w:eastAsia="华文中宋"/>
        </w:rPr>
        <w:t>第二视角监控设备浏览器要求</w:t>
      </w:r>
    </w:p>
    <w:p>
      <w:pPr>
        <w:spacing w:before="156" w:beforeLines="50" w:after="156" w:afterLines="50"/>
        <w:rPr>
          <w:rStyle w:val="13"/>
          <w:rFonts w:ascii="华文中宋" w:hAnsi="华文中宋" w:eastAsia="华文中宋"/>
          <w:bCs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华文中宋" w:hAnsi="华文中宋" w:eastAsia="华文中宋"/>
          <w:bCs/>
          <w:color w:val="000000" w:themeColor="text1"/>
          <w14:textFill>
            <w14:solidFill>
              <w14:schemeClr w14:val="tx1"/>
            </w14:solidFill>
          </w14:textFill>
        </w:rPr>
        <w:t>请注意：使用推荐的浏览器可获得较为稳定的考试体验，建议考生优先使用。</w:t>
      </w:r>
    </w:p>
    <w:p>
      <w:pPr>
        <w:pStyle w:val="3"/>
        <w:numPr>
          <w:ilvl w:val="0"/>
          <w:numId w:val="2"/>
        </w:numPr>
        <w:spacing w:after="156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考试场所网络条件要求</w:t>
      </w:r>
      <w:bookmarkEnd w:id="3"/>
    </w:p>
    <w:p>
      <w:pPr>
        <w:pStyle w:val="19"/>
        <w:widowControl w:val="0"/>
        <w:numPr>
          <w:ilvl w:val="0"/>
          <w:numId w:val="3"/>
        </w:numPr>
        <w:adjustRightInd/>
        <w:ind w:firstLineChars="0"/>
        <w:jc w:val="both"/>
        <w:rPr>
          <w:rFonts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考试场所应有</w:t>
      </w:r>
      <w:r>
        <w:rPr>
          <w:rFonts w:hint="eastAsia"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稳定的网络条件</w:t>
      </w:r>
      <w:r>
        <w:rPr>
          <w:rFonts w:hint="eastAsia"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，支持考试设备和监控设备同时联网。</w:t>
      </w:r>
    </w:p>
    <w:p>
      <w:pPr>
        <w:pStyle w:val="19"/>
        <w:widowControl w:val="0"/>
        <w:numPr>
          <w:ilvl w:val="0"/>
          <w:numId w:val="3"/>
        </w:numPr>
        <w:adjustRightInd/>
        <w:ind w:firstLineChars="0"/>
        <w:jc w:val="both"/>
        <w:rPr>
          <w:rFonts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建议使用带宽50Mbps或以上的独立光纤网络；</w:t>
      </w:r>
    </w:p>
    <w:p>
      <w:pPr>
        <w:pStyle w:val="19"/>
        <w:ind w:left="420" w:firstLine="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建议考生准备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4G网络作为备用网络，并事先做好调试，以便出现网络故障时能迅速切换到备用网络继续考试。（一场2小时左右的考试，预计使用3GB的流量）</w:t>
      </w:r>
    </w:p>
    <w:p>
      <w:pPr>
        <w:ind w:left="210" w:leftChars="100" w:firstLine="210" w:firstLineChars="100"/>
        <w:rPr>
          <w:rFonts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请注意：考试期间如发生网络故障，考试系统会提醒考生。</w:t>
      </w:r>
    </w:p>
    <w:p>
      <w:pPr>
        <w:ind w:left="210" w:leftChars="100" w:firstLine="210" w:firstLineChars="100"/>
        <w:rPr>
          <w:rFonts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252345" cy="11334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9581" cy="11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ind w:left="0" w:firstLine="420" w:firstLineChars="0"/>
        <w:jc w:val="both"/>
        <w:rPr>
          <w:rFonts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请考生在看到异常提示后尽快排除网络故障或切换到备用网络。故障解决后，考生可重新进入考试继续作答，网络故障发生之前的作答结果会保存；但是，由于考试设备或网络故障导致考试时间的损失、或无法完成考试的，依据主办方的管理规定不会获得补时或补考的机会。</w:t>
      </w:r>
    </w:p>
    <w:p>
      <w:pPr>
        <w:pStyle w:val="3"/>
        <w:numPr>
          <w:ilvl w:val="0"/>
          <w:numId w:val="2"/>
        </w:numPr>
        <w:spacing w:after="156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bookmarkStart w:id="15" w:name="_Toc113453152"/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考试环境的要求</w:t>
      </w:r>
      <w:bookmarkEnd w:id="15"/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考生应选择安静、光线充足、独立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的室内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空间参加考试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考试全过程严格禁止无关人员出入考试场所。</w:t>
      </w:r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不建议在公共场所（如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公共教室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、图书馆、咖啡馆、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敞开式的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、交通工具内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等）考试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ind w:left="0" w:firstLine="420" w:firstLineChars="20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本场考试将使用双视角监控方案，（正面主视角+第二视角（鹰眼相结合的在线监控方式，考生应配合进行监控环境的布置以满足监控要求。</w:t>
      </w:r>
    </w:p>
    <w:p>
      <w:pPr>
        <w:ind w:left="0" w:firstLine="420" w:firstLineChars="20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2"/>
        </w:numPr>
        <w:spacing w:after="156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bookmarkStart w:id="16" w:name="_Toc113453167"/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主视角设备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架设要求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：</w:t>
      </w:r>
      <w:bookmarkEnd w:id="16"/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考试设备摄像头在考试期间须全程开启，无遮挡，注意现场光线，避免背光、光线过强等情况影响监控质量；</w:t>
      </w:r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考试设备摄像头须保持正面面对考生，距离考生5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0CM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左右，考生完整的头部、肩部须处在监控范围内，并露出双耳，确保正面影像清晰可见；</w:t>
      </w:r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考试设备须电量充足，建议全程使用外接电源；</w:t>
      </w:r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进入考试系统前应关闭电脑上与考试无关网页和软件，包括安全卫士、电脑管家、各类通讯软件、音视频播放、直播软件及辅助上网工具（网络代理）等，以免由于网络冲突无法进入考试或被动弹窗导致被判定为违规；</w:t>
      </w:r>
    </w:p>
    <w:p>
      <w:pPr>
        <w:ind w:right="420" w:rightChars="20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2"/>
        </w:numPr>
        <w:spacing w:after="156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bookmarkStart w:id="17" w:name="_Toc113453168"/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第二视角（鹰眼）监控的设备架设要求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：</w:t>
      </w:r>
      <w:bookmarkEnd w:id="17"/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第二视角（鹰眼）设备应放置在考生侧后方、距离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1.5米-2米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处的稳定位置，应拍摄到考生写字台桌面、考生双手的动作以及电脑屏幕的状态，须确保考试电脑屏幕、键盘、全身（注意手和键盘不要被身体遮挡）和桌面可见；</w:t>
      </w:r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请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将智能手机或平板设备固定摆放，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建议使用手机支架，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便于按要求调整到合适的位置和高度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第二视角（鹰眼）监控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设备电量充足，建议全程使用外接电源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，以免由于断电导致监考视频中断被判定为违规；</w:t>
      </w:r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FF0000"/>
        </w:rPr>
      </w:pPr>
      <w:r>
        <w:rPr>
          <w:rFonts w:ascii="华文中宋" w:hAnsi="华文中宋" w:eastAsia="华文中宋"/>
          <w:color w:val="FF0000"/>
        </w:rPr>
        <w:t>开启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第二视角（鹰眼）</w:t>
      </w:r>
      <w:r>
        <w:rPr>
          <w:rFonts w:ascii="华文中宋" w:hAnsi="华文中宋" w:eastAsia="华文中宋"/>
          <w:color w:val="FF0000"/>
        </w:rPr>
        <w:t>监控前应</w:t>
      </w:r>
      <w:r>
        <w:rPr>
          <w:rFonts w:hint="eastAsia" w:ascii="华文中宋" w:hAnsi="华文中宋" w:eastAsia="华文中宋"/>
          <w:color w:val="FF0000"/>
        </w:rPr>
        <w:t>关闭</w:t>
      </w:r>
      <w:r>
        <w:rPr>
          <w:rFonts w:ascii="华文中宋" w:hAnsi="华文中宋" w:eastAsia="华文中宋"/>
          <w:color w:val="FF0000"/>
        </w:rPr>
        <w:t>与考试无关应用的提醒功能，</w:t>
      </w:r>
      <w:r>
        <w:rPr>
          <w:rFonts w:hint="eastAsia" w:ascii="华文中宋" w:hAnsi="华文中宋" w:eastAsia="华文中宋"/>
          <w:color w:val="FF0000"/>
        </w:rPr>
        <w:t>将设备设置为静音，</w:t>
      </w:r>
      <w:r>
        <w:rPr>
          <w:rFonts w:ascii="华文中宋" w:hAnsi="华文中宋" w:eastAsia="华文中宋"/>
          <w:color w:val="FF0000"/>
        </w:rPr>
        <w:t>避免来电、微信、或其他应用打断监控过程</w:t>
      </w:r>
      <w:r>
        <w:rPr>
          <w:rFonts w:hint="eastAsia" w:ascii="华文中宋" w:hAnsi="华文中宋" w:eastAsia="华文中宋"/>
          <w:color w:val="FF0000"/>
        </w:rPr>
        <w:t>，需要在考前开启设备免打扰模式，并选择拒绝所有来电和提醒。（如果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第二视角（鹰眼）</w:t>
      </w:r>
      <w:r>
        <w:rPr>
          <w:rFonts w:hint="eastAsia" w:ascii="华文中宋" w:hAnsi="华文中宋" w:eastAsia="华文中宋"/>
          <w:color w:val="FF0000"/>
        </w:rPr>
        <w:t>监控被打断掉线，可重新扫码登录）</w:t>
      </w:r>
      <w:r>
        <w:rPr>
          <w:rFonts w:ascii="华文中宋" w:hAnsi="华文中宋" w:eastAsia="华文中宋"/>
          <w:color w:val="FF0000"/>
        </w:rPr>
        <w:t>。</w:t>
      </w:r>
    </w:p>
    <w:p>
      <w:pPr>
        <w:ind w:left="0" w:firstLine="0" w:firstLineChars="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0" w:firstLine="0" w:firstLineChars="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0" w:firstLine="0" w:firstLineChars="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0" w:firstLine="0" w:firstLineChars="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0" w:firstLine="0" w:firstLineChars="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监控环境可参照以下示意图：</w:t>
      </w:r>
    </w:p>
    <w:p>
      <w:pP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886075" cy="22205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9226" cy="2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2542540</wp:posOffset>
                </wp:positionV>
                <wp:extent cx="1962150" cy="635"/>
                <wp:effectExtent l="0" t="0" r="0" b="6985"/>
                <wp:wrapSquare wrapText="bothSides"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ind w:left="400" w:hanging="400"/>
                              <w:jc w:val="center"/>
                              <w:rPr>
                                <w:rFonts w:cs="宋体"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监控环境实景图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75pt;margin-top:200.2pt;height:0.05pt;width:154.5pt;mso-wrap-distance-bottom:0pt;mso-wrap-distance-left:9pt;mso-wrap-distance-right:9pt;mso-wrap-distance-top:0pt;z-index:251661312;mso-width-relative:page;mso-height-relative:page;" fillcolor="#FFFFFF" filled="t" stroked="f" coordsize="21600,21600" o:gfxdata="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+J8RgdoAAAALAQAADwAAAAAAAAABACAAAAAiAAAAZHJz&#10;L2Rvd25yZXYueG1sUEsBAhQAFAAAAAgAh07iQL5ctIo7AgAAdAQAAA4AAAAAAAAAAQAgAAAAKQEA&#10;AGRycy9lMm9Eb2MueG1sUEsFBgAAAAAGAAYAWQEAANYFAAAAAA==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ind w:left="400" w:hanging="400"/>
                        <w:jc w:val="center"/>
                        <w:rPr>
                          <w:rFonts w:cs="宋体" w:asciiTheme="minorEastAsia" w:hAnsiTheme="minorEastAsia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监控环境实景图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1821180" cy="2444115"/>
            <wp:effectExtent l="0" t="0" r="762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-513080</wp:posOffset>
                </wp:positionH>
                <wp:positionV relativeFrom="paragraph">
                  <wp:posOffset>2583180</wp:posOffset>
                </wp:positionV>
                <wp:extent cx="3547745" cy="635"/>
                <wp:effectExtent l="0" t="0" r="0" b="6985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7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ind w:left="400" w:hanging="400"/>
                              <w:jc w:val="center"/>
                              <w:rPr>
                                <w:rFonts w:cs="宋体"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监控环境示意图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4pt;margin-top:203.4pt;height:0.05pt;width:279.35pt;mso-wrap-distance-bottom:0pt;mso-wrap-distance-left:9pt;mso-wrap-distance-right:9pt;mso-wrap-distance-top:0pt;z-index:251660288;mso-width-relative:page;mso-height-relative:page;" fillcolor="#FFFFFF" filled="t" stroked="f" coordsize="21600,21600" o:gfxdata="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n6w0C2wAAAAsBAAAPAAAAAAAAAAEAIAAAACIAAABk&#10;cnMvZG93bnJldi54bWxQSwECFAAUAAAACACHTuJAaBd3eTwCAAB0BAAADgAAAAAAAAABACAAAAAq&#10;AQAAZHJzL2Uyb0RvYy54bWxQSwUGAAAAAAYABgBZAQAA2AUAAAAA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ind w:left="400" w:hanging="400"/>
                        <w:jc w:val="center"/>
                        <w:rPr>
                          <w:rFonts w:cs="宋体" w:asciiTheme="minorEastAsia" w:hAnsiTheme="minorEastAsia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监控环境示意图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19"/>
        <w:ind w:left="0" w:firstLine="420" w:firstLineChars="20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ind w:left="0" w:firstLine="420" w:firstLineChars="20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ind w:left="0" w:firstLine="420" w:firstLineChars="20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418" w:hanging="418" w:hangingChars="199"/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418" w:hanging="418" w:hangingChars="199"/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ind w:left="0" w:firstLine="420" w:firstLineChars="20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请注意：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考试过程的中采集的监控信息，将只允许考试主办方查阅，作为判定考生是否遵守考试规则的辅助依据；不会用在除此之外的其他用途。</w:t>
      </w:r>
    </w:p>
    <w:p>
      <w:pPr>
        <w:ind w:left="0" w:firstLine="0" w:firstLineChars="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0" w:firstLine="0" w:firstLineChars="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特别提示：第二视角（鹰眼）设备-用于第二视角监控的设备应设置为在充电时永不息屏，设置方式如下：</w:t>
      </w:r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iOS设备：在设置-显示与亮度-自动锁定内，设置为“永不”。</w:t>
      </w:r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安卓设备：安卓手机需先开启“开发人员选项/开发者选项”，由于每个品牌机型的开发者选项操作步骤不同，请自行搜索本人手机品牌的开发者选项如何开启。开启开发者选项后，在开发者选项内，开启“不锁定屏幕（充电时屏幕不会休眠）”。</w:t>
      </w:r>
    </w:p>
    <w:p>
      <w:pPr>
        <w:pStyle w:val="19"/>
        <w:widowControl w:val="0"/>
        <w:spacing w:line="360" w:lineRule="auto"/>
        <w:ind w:left="840" w:firstLine="0" w:firstLineChars="0"/>
        <w:jc w:val="center"/>
        <w:rPr>
          <w:rFonts w:ascii="微软雅黑 Light" w:hAnsi="微软雅黑 Light" w:eastAsia="微软雅黑 Light" w:cs="仿宋"/>
          <w:color w:val="000000" w:themeColor="text1"/>
          <w:sz w:val="2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805940" cy="2234565"/>
            <wp:effectExtent l="0" t="0" r="3810" b="0"/>
            <wp:docPr id="195" name="图片 19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265" cy="225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hanging="420"/>
      </w:pPr>
      <w:r>
        <w:separator/>
      </w:r>
    </w:p>
  </w:endnote>
  <w:endnote w:type="continuationSeparator" w:id="1">
    <w:p>
      <w:pPr>
        <w:ind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60" w:hanging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60" w:hanging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hanging="420"/>
      </w:pPr>
      <w:r>
        <w:separator/>
      </w:r>
    </w:p>
  </w:footnote>
  <w:footnote w:type="continuationSeparator" w:id="1">
    <w:p>
      <w:pPr>
        <w:ind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60" w:hanging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60"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60"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22AC2"/>
    <w:multiLevelType w:val="multilevel"/>
    <w:tmpl w:val="0A422AC2"/>
    <w:lvl w:ilvl="0" w:tentative="0">
      <w:start w:val="1"/>
      <w:numFmt w:val="bullet"/>
      <w:lvlText w:val=""/>
      <w:lvlJc w:val="left"/>
      <w:pPr>
        <w:ind w:left="845" w:hanging="425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decimal"/>
      <w:lvlText w:val="%1.%2.%3.%4."/>
      <w:lvlJc w:val="left"/>
      <w:pPr>
        <w:ind w:left="1271" w:hanging="851"/>
      </w:pPr>
    </w:lvl>
    <w:lvl w:ilvl="4" w:tentative="0">
      <w:start w:val="1"/>
      <w:numFmt w:val="decimal"/>
      <w:lvlText w:val="%1.%2.%3.%4.%5."/>
      <w:lvlJc w:val="left"/>
      <w:pPr>
        <w:ind w:left="1412" w:hanging="992"/>
      </w:pPr>
    </w:lvl>
    <w:lvl w:ilvl="5" w:tentative="0">
      <w:start w:val="1"/>
      <w:numFmt w:val="decimal"/>
      <w:lvlText w:val="%1.%2.%3.%4.%5.%6."/>
      <w:lvlJc w:val="left"/>
      <w:pPr>
        <w:ind w:left="1554" w:hanging="1134"/>
      </w:pPr>
    </w:lvl>
    <w:lvl w:ilvl="6" w:tentative="0">
      <w:start w:val="1"/>
      <w:numFmt w:val="decimal"/>
      <w:lvlText w:val="%1.%2.%3.%4.%5.%6.%7."/>
      <w:lvlJc w:val="left"/>
      <w:pPr>
        <w:ind w:left="1696" w:hanging="1276"/>
      </w:pPr>
    </w:lvl>
    <w:lvl w:ilvl="7" w:tentative="0">
      <w:start w:val="1"/>
      <w:numFmt w:val="decimal"/>
      <w:lvlText w:val="%1.%2.%3.%4.%5.%6.%7.%8."/>
      <w:lvlJc w:val="left"/>
      <w:pPr>
        <w:ind w:left="1838" w:hanging="1418"/>
      </w:pPr>
    </w:lvl>
    <w:lvl w:ilvl="8" w:tentative="0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1">
    <w:nsid w:val="197D121E"/>
    <w:multiLevelType w:val="multilevel"/>
    <w:tmpl w:val="197D121E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AF861A9"/>
    <w:multiLevelType w:val="multilevel"/>
    <w:tmpl w:val="4AF861A9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54BC7539"/>
    <w:multiLevelType w:val="multilevel"/>
    <w:tmpl w:val="54BC7539"/>
    <w:lvl w:ilvl="0" w:tentative="0">
      <w:start w:val="1"/>
      <w:numFmt w:val="bullet"/>
      <w:lvlText w:val=""/>
      <w:lvlJc w:val="left"/>
      <w:pPr>
        <w:ind w:left="845" w:hanging="425"/>
      </w:pPr>
      <w:rPr>
        <w:rFonts w:hint="default" w:ascii="Wingdings" w:hAnsi="Wingdings"/>
      </w:rPr>
    </w:lvl>
    <w:lvl w:ilvl="1" w:tentative="0">
      <w:start w:val="1"/>
      <w:numFmt w:val="bullet"/>
      <w:lvlText w:val="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o"/>
      <w:lvlJc w:val="left"/>
      <w:pPr>
        <w:ind w:left="1271" w:hanging="420"/>
      </w:pPr>
      <w:rPr>
        <w:rFonts w:hint="default" w:ascii="Courier New" w:hAnsi="Courier New" w:cs="Courier New"/>
      </w:rPr>
    </w:lvl>
    <w:lvl w:ilvl="3" w:tentative="0">
      <w:start w:val="1"/>
      <w:numFmt w:val="decimal"/>
      <w:lvlText w:val="%1.%2.%3.%4."/>
      <w:lvlJc w:val="left"/>
      <w:pPr>
        <w:ind w:left="1271" w:hanging="851"/>
      </w:pPr>
    </w:lvl>
    <w:lvl w:ilvl="4" w:tentative="0">
      <w:start w:val="1"/>
      <w:numFmt w:val="decimal"/>
      <w:lvlText w:val="%1.%2.%3.%4.%5."/>
      <w:lvlJc w:val="left"/>
      <w:pPr>
        <w:ind w:left="1412" w:hanging="992"/>
      </w:pPr>
    </w:lvl>
    <w:lvl w:ilvl="5" w:tentative="0">
      <w:start w:val="1"/>
      <w:numFmt w:val="decimal"/>
      <w:lvlText w:val="%1.%2.%3.%4.%5.%6."/>
      <w:lvlJc w:val="left"/>
      <w:pPr>
        <w:ind w:left="1554" w:hanging="1134"/>
      </w:pPr>
    </w:lvl>
    <w:lvl w:ilvl="6" w:tentative="0">
      <w:start w:val="1"/>
      <w:numFmt w:val="decimal"/>
      <w:lvlText w:val="%1.%2.%3.%4.%5.%6.%7."/>
      <w:lvlJc w:val="left"/>
      <w:pPr>
        <w:ind w:left="1696" w:hanging="1276"/>
      </w:pPr>
    </w:lvl>
    <w:lvl w:ilvl="7" w:tentative="0">
      <w:start w:val="1"/>
      <w:numFmt w:val="decimal"/>
      <w:lvlText w:val="%1.%2.%3.%4.%5.%6.%7.%8."/>
      <w:lvlJc w:val="left"/>
      <w:pPr>
        <w:ind w:left="1838" w:hanging="1418"/>
      </w:pPr>
    </w:lvl>
    <w:lvl w:ilvl="8" w:tentative="0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4">
    <w:nsid w:val="768E06AD"/>
    <w:multiLevelType w:val="multilevel"/>
    <w:tmpl w:val="768E06A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770222"/>
    <w:multiLevelType w:val="multilevel"/>
    <w:tmpl w:val="7D770222"/>
    <w:lvl w:ilvl="0" w:tentative="0">
      <w:start w:val="1"/>
      <w:numFmt w:val="decimal"/>
      <w:pStyle w:val="3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yYjZhZTVhMDcyM2M5NWE1YzQ2NDdiYWVlYzI1ZGQifQ=="/>
  </w:docVars>
  <w:rsids>
    <w:rsidRoot w:val="00E546F4"/>
    <w:rsid w:val="000325B1"/>
    <w:rsid w:val="0005775C"/>
    <w:rsid w:val="000D055C"/>
    <w:rsid w:val="000F0A77"/>
    <w:rsid w:val="001246BF"/>
    <w:rsid w:val="001D39B5"/>
    <w:rsid w:val="001E6A77"/>
    <w:rsid w:val="00225C3A"/>
    <w:rsid w:val="00265C4E"/>
    <w:rsid w:val="003971F9"/>
    <w:rsid w:val="003E3836"/>
    <w:rsid w:val="00497B00"/>
    <w:rsid w:val="004E26BA"/>
    <w:rsid w:val="0050053E"/>
    <w:rsid w:val="0054156C"/>
    <w:rsid w:val="005C6EA8"/>
    <w:rsid w:val="005E6B28"/>
    <w:rsid w:val="006F5BA9"/>
    <w:rsid w:val="0070320B"/>
    <w:rsid w:val="00765C30"/>
    <w:rsid w:val="00796F3C"/>
    <w:rsid w:val="007A78F7"/>
    <w:rsid w:val="0085300E"/>
    <w:rsid w:val="00882880"/>
    <w:rsid w:val="008A4A1D"/>
    <w:rsid w:val="009923B6"/>
    <w:rsid w:val="00A0484F"/>
    <w:rsid w:val="00A516DC"/>
    <w:rsid w:val="00A84E29"/>
    <w:rsid w:val="00B761EB"/>
    <w:rsid w:val="00BC71AB"/>
    <w:rsid w:val="00BF1028"/>
    <w:rsid w:val="00D23CEC"/>
    <w:rsid w:val="00D40805"/>
    <w:rsid w:val="00D531C7"/>
    <w:rsid w:val="00E546F4"/>
    <w:rsid w:val="00E7526F"/>
    <w:rsid w:val="00ED3EA6"/>
    <w:rsid w:val="00F83F8A"/>
    <w:rsid w:val="00F961D0"/>
    <w:rsid w:val="1F32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left="420" w:hanging="420" w:hangingChars="200"/>
    </w:pPr>
    <w:rPr>
      <w:rFonts w:cs="宋体" w:asciiTheme="minorEastAsia" w:hAnsiTheme="minorEastAsia" w:eastAsiaTheme="minorEastAsia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numPr>
        <w:ilvl w:val="0"/>
        <w:numId w:val="1"/>
      </w:numPr>
      <w:adjustRightInd/>
      <w:snapToGrid/>
      <w:spacing w:before="120" w:after="50" w:afterLines="50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5">
    <w:name w:val="annotation text"/>
    <w:basedOn w:val="1"/>
    <w:link w:val="23"/>
    <w:semiHidden/>
    <w:unhideWhenUsed/>
    <w:qFormat/>
    <w:uiPriority w:val="99"/>
  </w:style>
  <w:style w:type="paragraph" w:styleId="6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footnote text"/>
    <w:basedOn w:val="1"/>
    <w:link w:val="20"/>
    <w:unhideWhenUsed/>
    <w:qFormat/>
    <w:uiPriority w:val="0"/>
    <w:rPr>
      <w:sz w:val="18"/>
      <w:szCs w:val="18"/>
    </w:rPr>
  </w:style>
  <w:style w:type="paragraph" w:styleId="10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rFonts w:asciiTheme="minorHAnsi" w:hAnsiTheme="minorHAnsi" w:eastAsiaTheme="minorEastAsia"/>
      <w:b/>
      <w:color w:val="00B050"/>
      <w:sz w:val="21"/>
    </w:rPr>
  </w:style>
  <w:style w:type="character" w:styleId="14">
    <w:name w:val="FollowedHyperlink"/>
    <w:basedOn w:val="1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17">
    <w:name w:val="footnote reference"/>
    <w:basedOn w:val="12"/>
    <w:semiHidden/>
    <w:unhideWhenUsed/>
    <w:qFormat/>
    <w:uiPriority w:val="0"/>
    <w:rPr>
      <w:vertAlign w:val="superscript"/>
    </w:rPr>
  </w:style>
  <w:style w:type="character" w:customStyle="1" w:styleId="18">
    <w:name w:val="标题 2 字符"/>
    <w:basedOn w:val="12"/>
    <w:link w:val="3"/>
    <w:uiPriority w:val="0"/>
    <w:rPr>
      <w:rFonts w:asciiTheme="majorHAnsi" w:hAnsiTheme="majorHAnsi" w:eastAsiaTheme="majorEastAsia" w:cstheme="majorBidi"/>
      <w:b/>
      <w:bCs/>
      <w:kern w:val="0"/>
      <w:szCs w:val="32"/>
    </w:rPr>
  </w:style>
  <w:style w:type="paragraph" w:styleId="19">
    <w:name w:val="List Paragraph"/>
    <w:basedOn w:val="1"/>
    <w:qFormat/>
    <w:uiPriority w:val="0"/>
    <w:pPr>
      <w:ind w:left="200" w:hanging="200"/>
    </w:pPr>
  </w:style>
  <w:style w:type="character" w:customStyle="1" w:styleId="20">
    <w:name w:val="脚注文本 字符"/>
    <w:basedOn w:val="12"/>
    <w:link w:val="9"/>
    <w:qFormat/>
    <w:uiPriority w:val="0"/>
    <w:rPr>
      <w:rFonts w:cs="宋体" w:asciiTheme="minorEastAsia" w:hAnsiTheme="minorEastAsia"/>
      <w:kern w:val="0"/>
      <w:sz w:val="18"/>
      <w:szCs w:val="18"/>
    </w:rPr>
  </w:style>
  <w:style w:type="character" w:customStyle="1" w:styleId="21">
    <w:name w:val="页眉 字符"/>
    <w:basedOn w:val="12"/>
    <w:link w:val="8"/>
    <w:qFormat/>
    <w:uiPriority w:val="99"/>
    <w:rPr>
      <w:rFonts w:cs="宋体" w:asciiTheme="minorEastAsia" w:hAnsiTheme="minorEastAsia"/>
      <w:kern w:val="0"/>
      <w:sz w:val="18"/>
      <w:szCs w:val="18"/>
    </w:rPr>
  </w:style>
  <w:style w:type="character" w:customStyle="1" w:styleId="22">
    <w:name w:val="页脚 字符"/>
    <w:basedOn w:val="12"/>
    <w:link w:val="7"/>
    <w:qFormat/>
    <w:uiPriority w:val="99"/>
    <w:rPr>
      <w:rFonts w:cs="宋体" w:asciiTheme="minorEastAsia" w:hAnsiTheme="minorEastAsia"/>
      <w:kern w:val="0"/>
      <w:sz w:val="18"/>
      <w:szCs w:val="18"/>
    </w:rPr>
  </w:style>
  <w:style w:type="character" w:customStyle="1" w:styleId="23">
    <w:name w:val="批注文字 字符"/>
    <w:basedOn w:val="12"/>
    <w:link w:val="5"/>
    <w:semiHidden/>
    <w:qFormat/>
    <w:uiPriority w:val="99"/>
    <w:rPr>
      <w:rFonts w:cs="宋体" w:asciiTheme="minorEastAsia" w:hAnsiTheme="minorEastAsia"/>
      <w:kern w:val="0"/>
      <w:szCs w:val="21"/>
    </w:rPr>
  </w:style>
  <w:style w:type="character" w:customStyle="1" w:styleId="24">
    <w:name w:val="批注主题 字符"/>
    <w:basedOn w:val="23"/>
    <w:link w:val="10"/>
    <w:semiHidden/>
    <w:qFormat/>
    <w:uiPriority w:val="99"/>
    <w:rPr>
      <w:rFonts w:cs="宋体" w:asciiTheme="minorEastAsia" w:hAnsiTheme="minorEastAsia"/>
      <w:b/>
      <w:bCs/>
      <w:kern w:val="0"/>
      <w:szCs w:val="21"/>
    </w:rPr>
  </w:style>
  <w:style w:type="character" w:customStyle="1" w:styleId="25">
    <w:name w:val="批注框文本 字符"/>
    <w:basedOn w:val="12"/>
    <w:link w:val="6"/>
    <w:semiHidden/>
    <w:qFormat/>
    <w:uiPriority w:val="99"/>
    <w:rPr>
      <w:rFonts w:cs="宋体" w:asciiTheme="minorEastAsia" w:hAnsiTheme="minorEastAsia"/>
      <w:kern w:val="0"/>
      <w:sz w:val="18"/>
      <w:szCs w:val="18"/>
    </w:rPr>
  </w:style>
  <w:style w:type="character" w:customStyle="1" w:styleId="26">
    <w:name w:val="标题 1 字符"/>
    <w:basedOn w:val="12"/>
    <w:link w:val="2"/>
    <w:qFormat/>
    <w:uiPriority w:val="9"/>
    <w:rPr>
      <w:rFonts w:cs="宋体" w:asciiTheme="minorEastAsia" w:hAnsiTheme="minorEastAsia"/>
      <w:b/>
      <w:bCs/>
      <w:kern w:val="44"/>
      <w:sz w:val="44"/>
      <w:szCs w:val="44"/>
    </w:rPr>
  </w:style>
  <w:style w:type="paragraph" w:customStyle="1" w:styleId="27">
    <w:name w:val="Revision"/>
    <w:hidden/>
    <w:semiHidden/>
    <w:qFormat/>
    <w:uiPriority w:val="99"/>
    <w:rPr>
      <w:rFonts w:cs="宋体" w:asciiTheme="minorEastAsia" w:hAnsiTheme="minorEastAsia" w:eastAsiaTheme="minorEastAsia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4.png"/><Relationship Id="rId15" Type="http://schemas.openxmlformats.org/officeDocument/2006/relationships/hyperlink" Target="https://ali-pro-km.udeskcs.com/Data/33455/oss-km-image/XsB5ZidzWkp6fkHiNj6SdCZzH73MWrxs/image.png" TargetMode="Externa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2227C0-8872-4691-B814-CC0CD3055F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1770</Words>
  <Characters>1857</Characters>
  <Lines>13</Lines>
  <Paragraphs>3</Paragraphs>
  <TotalTime>47</TotalTime>
  <ScaleCrop>false</ScaleCrop>
  <LinksUpToDate>false</LinksUpToDate>
  <CharactersWithSpaces>1864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2022-09-09T11:07:00Z</dcterms:created>
  <dc:creator>Zhangwei</dc:creator>
  <cp:lastModifiedBy>67471</cp:lastModifiedBy>
  <dcterms:modified xsi:type="dcterms:W3CDTF">2022-10-26T02:14:55Z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CEFB107FF5ED4CC7A04AA621F2CA493F</vt:lpwstr>
  </property>
</Properties>
</file>