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DFAB" w14:textId="30B3232E" w:rsidR="00611A1A" w:rsidRPr="00F61E66" w:rsidRDefault="00611A1A" w:rsidP="00C071BE">
      <w:pPr>
        <w:jc w:val="center"/>
        <w:rPr>
          <w:rFonts w:ascii="仿宋" w:eastAsia="仿宋" w:hAnsi="仿宋"/>
          <w:b/>
          <w:bCs/>
          <w:sz w:val="32"/>
          <w:szCs w:val="40"/>
        </w:rPr>
      </w:pPr>
      <w:bookmarkStart w:id="0" w:name="_Hlk116631693"/>
      <w:bookmarkStart w:id="1" w:name="_Toc456970354"/>
      <w:r w:rsidRPr="00F61E66">
        <w:rPr>
          <w:rFonts w:ascii="仿宋" w:eastAsia="仿宋" w:hAnsi="仿宋" w:hint="eastAsia"/>
          <w:b/>
          <w:bCs/>
          <w:sz w:val="32"/>
          <w:szCs w:val="40"/>
        </w:rPr>
        <w:t>北京师范大学网络教育</w:t>
      </w:r>
      <w:r w:rsidR="005A7474" w:rsidRPr="00F61E66">
        <w:rPr>
          <w:rFonts w:ascii="仿宋" w:eastAsia="仿宋" w:hAnsi="仿宋" w:hint="eastAsia"/>
          <w:b/>
          <w:bCs/>
          <w:sz w:val="32"/>
          <w:szCs w:val="40"/>
        </w:rPr>
        <w:t>毕业</w:t>
      </w:r>
      <w:r w:rsidRPr="00F61E66">
        <w:rPr>
          <w:rFonts w:ascii="仿宋" w:eastAsia="仿宋" w:hAnsi="仿宋" w:hint="eastAsia"/>
          <w:b/>
          <w:bCs/>
          <w:sz w:val="32"/>
          <w:szCs w:val="40"/>
        </w:rPr>
        <w:t>论文（报告）管理</w:t>
      </w:r>
      <w:r w:rsidR="00193C4B" w:rsidRPr="00F61E66">
        <w:rPr>
          <w:rFonts w:ascii="仿宋" w:eastAsia="仿宋" w:hAnsi="仿宋" w:hint="eastAsia"/>
          <w:b/>
          <w:bCs/>
          <w:sz w:val="32"/>
          <w:szCs w:val="40"/>
        </w:rPr>
        <w:t>办法</w:t>
      </w:r>
    </w:p>
    <w:p w14:paraId="4CBDE4F0" w14:textId="30DACA04" w:rsidR="0066157E" w:rsidRPr="00F61E66" w:rsidRDefault="0066157E" w:rsidP="0066157E">
      <w:pPr>
        <w:jc w:val="center"/>
        <w:rPr>
          <w:rFonts w:ascii="仿宋" w:eastAsia="仿宋" w:hAnsi="仿宋"/>
        </w:rPr>
      </w:pPr>
      <w:bookmarkStart w:id="2" w:name="_Hlk116034315"/>
      <w:bookmarkEnd w:id="0"/>
      <w:r w:rsidRPr="00F61E66">
        <w:rPr>
          <w:rFonts w:ascii="仿宋" w:eastAsia="仿宋" w:hAnsi="仿宋" w:hint="eastAsia"/>
        </w:rPr>
        <w:t>（2</w:t>
      </w:r>
      <w:r w:rsidRPr="00F61E66">
        <w:rPr>
          <w:rFonts w:ascii="仿宋" w:eastAsia="仿宋" w:hAnsi="仿宋"/>
        </w:rPr>
        <w:t>022</w:t>
      </w:r>
      <w:r w:rsidRPr="00F61E66">
        <w:rPr>
          <w:rFonts w:ascii="仿宋" w:eastAsia="仿宋" w:hAnsi="仿宋" w:hint="eastAsia"/>
        </w:rPr>
        <w:t>年1</w:t>
      </w:r>
      <w:r w:rsidR="000B11B4" w:rsidRPr="00F61E66">
        <w:rPr>
          <w:rFonts w:ascii="仿宋" w:eastAsia="仿宋" w:hAnsi="仿宋"/>
        </w:rPr>
        <w:t>1</w:t>
      </w:r>
      <w:r w:rsidRPr="00F61E66">
        <w:rPr>
          <w:rFonts w:ascii="仿宋" w:eastAsia="仿宋" w:hAnsi="仿宋" w:hint="eastAsia"/>
        </w:rPr>
        <w:t>月修订）</w:t>
      </w:r>
    </w:p>
    <w:bookmarkEnd w:id="2"/>
    <w:p w14:paraId="7C61ED91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第一章 总则</w:t>
      </w:r>
    </w:p>
    <w:p w14:paraId="53E3D9F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毕业论文（报告）是整个教学过程的重要必修实践环节，对于提高人才培养质量具有非常重要的作用。为规范我校网络教育毕业论文（报告）工作，提高毕业论文（报告）质量，北京师范大学继续教育与教师培训学院（以下简称学院）特制定本管理办法。</w:t>
      </w:r>
    </w:p>
    <w:p w14:paraId="672D05EF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第二章 本科毕业论文写作管理</w:t>
      </w:r>
    </w:p>
    <w:p w14:paraId="454986AD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毕业论文是衡量学生专业知识、专业水平和专业能力的重要教学环节，也是学生顺利毕业、申请学位的前提条件。</w:t>
      </w:r>
    </w:p>
    <w:p w14:paraId="30C0876C" w14:textId="77777777" w:rsidR="003E640A" w:rsidRPr="005139EB" w:rsidRDefault="003E640A" w:rsidP="003E640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b/>
          <w:bCs/>
          <w:sz w:val="24"/>
          <w:szCs w:val="32"/>
        </w:rPr>
      </w:pPr>
      <w:r w:rsidRPr="005139EB">
        <w:rPr>
          <w:rFonts w:ascii="仿宋" w:eastAsia="仿宋" w:hAnsi="仿宋" w:hint="eastAsia"/>
          <w:b/>
          <w:bCs/>
          <w:sz w:val="24"/>
          <w:szCs w:val="32"/>
        </w:rPr>
        <w:t>选课</w:t>
      </w:r>
    </w:p>
    <w:p w14:paraId="6517F547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 xml:space="preserve"> </w:t>
      </w:r>
      <w:r w:rsidRPr="005139EB">
        <w:rPr>
          <w:rFonts w:ascii="仿宋" w:eastAsia="仿宋" w:hAnsi="仿宋" w:hint="eastAsia"/>
          <w:sz w:val="24"/>
        </w:rPr>
        <w:t>符合选课条件的学生须完成平台选课，具体选课条件和选课方法详见《关于&lt;北京师范大学网络教育毕业论文（报告）工作管理办法&gt;的补充说明》(以下简称“补充说明”)中的“</w:t>
      </w:r>
      <w:r w:rsidRPr="005139EB">
        <w:rPr>
          <w:rFonts w:ascii="仿宋" w:eastAsia="仿宋" w:hAnsi="仿宋"/>
          <w:sz w:val="24"/>
        </w:rPr>
        <w:t>本科</w:t>
      </w:r>
      <w:r w:rsidRPr="005139EB">
        <w:rPr>
          <w:rFonts w:ascii="仿宋" w:eastAsia="仿宋" w:hAnsi="仿宋" w:hint="eastAsia"/>
          <w:sz w:val="24"/>
        </w:rPr>
        <w:t>毕业论文选课”。</w:t>
      </w:r>
    </w:p>
    <w:p w14:paraId="632983BA" w14:textId="77777777" w:rsidR="003E640A" w:rsidRPr="00BD4329" w:rsidRDefault="003E640A" w:rsidP="003E640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b/>
          <w:bCs/>
          <w:sz w:val="24"/>
          <w:szCs w:val="32"/>
        </w:rPr>
      </w:pPr>
      <w:r w:rsidRPr="00BD4329">
        <w:rPr>
          <w:rFonts w:ascii="仿宋" w:eastAsia="仿宋" w:hAnsi="仿宋" w:hint="eastAsia"/>
          <w:b/>
          <w:bCs/>
          <w:sz w:val="24"/>
          <w:szCs w:val="32"/>
        </w:rPr>
        <w:t>写作与提交</w:t>
      </w:r>
    </w:p>
    <w:p w14:paraId="4AAF55BB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kern w:val="2"/>
        </w:rPr>
        <w:t>学生须在</w:t>
      </w:r>
      <w:r w:rsidRPr="005139EB">
        <w:rPr>
          <w:rFonts w:ascii="仿宋" w:eastAsia="仿宋" w:hAnsi="仿宋"/>
          <w:kern w:val="2"/>
        </w:rPr>
        <w:t>规定时间内</w:t>
      </w:r>
      <w:r w:rsidRPr="005139EB">
        <w:rPr>
          <w:rFonts w:ascii="仿宋" w:eastAsia="仿宋" w:hAnsi="仿宋" w:hint="eastAsia"/>
          <w:kern w:val="2"/>
        </w:rPr>
        <w:t>完成毕业论文选题、提纲与论文稿的撰写和修订、查重等，并在教学平台相应区域进行提交。</w:t>
      </w:r>
    </w:p>
    <w:p w14:paraId="4378B4A2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>（一）选题</w:t>
      </w:r>
    </w:p>
    <w:p w14:paraId="08B6928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选题须符合专业培养目标和教学要求，难易程度适宜，要具有一定的专业水平。学生要根据个人的专业、兴趣及从事工作情况等自拟明确的论文题目。</w:t>
      </w:r>
    </w:p>
    <w:p w14:paraId="5F21140C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>（二）撰写</w:t>
      </w:r>
    </w:p>
    <w:p w14:paraId="130AEE9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1. 毕业论文</w:t>
      </w:r>
      <w:proofErr w:type="gramStart"/>
      <w:r w:rsidRPr="005139EB">
        <w:rPr>
          <w:rFonts w:ascii="仿宋" w:eastAsia="仿宋" w:hAnsi="仿宋"/>
          <w:sz w:val="24"/>
        </w:rPr>
        <w:t>应观点</w:t>
      </w:r>
      <w:proofErr w:type="gramEnd"/>
      <w:r w:rsidRPr="005139EB">
        <w:rPr>
          <w:rFonts w:ascii="仿宋" w:eastAsia="仿宋" w:hAnsi="仿宋"/>
          <w:sz w:val="24"/>
        </w:rPr>
        <w:t>明确，论据充分，数据准确，逻辑性强， 无疏漏或片面性。</w:t>
      </w:r>
    </w:p>
    <w:p w14:paraId="2571109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 毕业论文</w:t>
      </w:r>
      <w:proofErr w:type="gramStart"/>
      <w:r w:rsidRPr="005139EB">
        <w:rPr>
          <w:rFonts w:ascii="仿宋" w:eastAsia="仿宋" w:hAnsi="仿宋"/>
          <w:sz w:val="24"/>
        </w:rPr>
        <w:t>应结构</w:t>
      </w:r>
      <w:proofErr w:type="gramEnd"/>
      <w:r w:rsidRPr="005139EB">
        <w:rPr>
          <w:rFonts w:ascii="仿宋" w:eastAsia="仿宋" w:hAnsi="仿宋"/>
          <w:sz w:val="24"/>
        </w:rPr>
        <w:t>完整，表达准确清楚，符合学术规范，按专业学术论文体例撰写</w:t>
      </w:r>
      <w:r w:rsidRPr="005139EB">
        <w:rPr>
          <w:rFonts w:ascii="仿宋" w:eastAsia="仿宋" w:hAnsi="仿宋" w:hint="eastAsia"/>
          <w:sz w:val="24"/>
        </w:rPr>
        <w:t>。</w:t>
      </w:r>
    </w:p>
    <w:p w14:paraId="7D957D7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</w:t>
      </w:r>
      <w:r w:rsidRPr="005139EB">
        <w:rPr>
          <w:rFonts w:ascii="仿宋" w:eastAsia="仿宋" w:hAnsi="仿宋" w:hint="eastAsia"/>
          <w:sz w:val="24"/>
        </w:rPr>
        <w:t>毕业论文应包括：封面、诚信承诺书、</w:t>
      </w:r>
      <w:r w:rsidRPr="005139EB">
        <w:rPr>
          <w:rFonts w:ascii="仿宋" w:eastAsia="仿宋" w:hAnsi="仿宋"/>
          <w:sz w:val="24"/>
        </w:rPr>
        <w:t>使用授权</w:t>
      </w:r>
      <w:r w:rsidRPr="005139EB">
        <w:rPr>
          <w:rFonts w:ascii="仿宋" w:eastAsia="仿宋" w:hAnsi="仿宋" w:hint="eastAsia"/>
          <w:sz w:val="24"/>
        </w:rPr>
        <w:t>书、正文题目、摘要、关键词、目录、正文、注释（采用脚注方式）、参考文献、（附录）等部分，且</w:t>
      </w:r>
      <w:r w:rsidRPr="005139EB">
        <w:rPr>
          <w:rFonts w:ascii="仿宋" w:eastAsia="仿宋" w:hAnsi="仿宋"/>
          <w:sz w:val="24"/>
        </w:rPr>
        <w:t>各部分都应按统一要求的格式书写，具体格式要求详见</w:t>
      </w:r>
      <w:r w:rsidRPr="005139EB">
        <w:rPr>
          <w:rFonts w:ascii="仿宋" w:eastAsia="仿宋" w:hAnsi="仿宋"/>
          <w:b/>
          <w:sz w:val="24"/>
        </w:rPr>
        <w:t>《</w:t>
      </w:r>
      <w:r w:rsidRPr="005139EB">
        <w:rPr>
          <w:rFonts w:ascii="仿宋" w:eastAsia="仿宋" w:hAnsi="仿宋" w:hint="eastAsia"/>
          <w:b/>
          <w:sz w:val="24"/>
        </w:rPr>
        <w:t>北京师范大学网络教育本科毕业论文格式要求及范例</w:t>
      </w:r>
      <w:r w:rsidRPr="005139EB">
        <w:rPr>
          <w:rFonts w:ascii="仿宋" w:eastAsia="仿宋" w:hAnsi="仿宋"/>
          <w:b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。</w:t>
      </w:r>
    </w:p>
    <w:p w14:paraId="6AFB228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lastRenderedPageBreak/>
        <w:t>4.</w:t>
      </w:r>
      <w:r w:rsidRPr="005139EB">
        <w:rPr>
          <w:rFonts w:ascii="仿宋" w:eastAsia="仿宋" w:hAnsi="仿宋" w:hint="eastAsia"/>
          <w:sz w:val="24"/>
        </w:rPr>
        <w:t>论文篇幅3</w:t>
      </w:r>
      <w:r w:rsidRPr="005139EB">
        <w:rPr>
          <w:rFonts w:ascii="仿宋" w:eastAsia="仿宋" w:hAnsi="仿宋"/>
          <w:sz w:val="24"/>
        </w:rPr>
        <w:t>000-10000</w:t>
      </w:r>
      <w:r w:rsidRPr="005139EB">
        <w:rPr>
          <w:rFonts w:ascii="仿宋" w:eastAsia="仿宋" w:hAnsi="仿宋" w:hint="eastAsia"/>
          <w:sz w:val="24"/>
        </w:rPr>
        <w:t>字（拟申请学位的论文要求6</w:t>
      </w:r>
      <w:r w:rsidRPr="005139EB">
        <w:rPr>
          <w:rFonts w:ascii="仿宋" w:eastAsia="仿宋" w:hAnsi="仿宋"/>
          <w:sz w:val="24"/>
        </w:rPr>
        <w:t>000-10000</w:t>
      </w:r>
      <w:r w:rsidRPr="005139EB">
        <w:rPr>
          <w:rFonts w:ascii="仿宋" w:eastAsia="仿宋" w:hAnsi="仿宋" w:hint="eastAsia"/>
          <w:sz w:val="24"/>
        </w:rPr>
        <w:t>字），目录、摘要、关键词、参考文献、脚注和</w:t>
      </w:r>
      <w:proofErr w:type="gramStart"/>
      <w:r w:rsidRPr="005139EB">
        <w:rPr>
          <w:rFonts w:ascii="仿宋" w:eastAsia="仿宋" w:hAnsi="仿宋" w:hint="eastAsia"/>
          <w:sz w:val="24"/>
        </w:rPr>
        <w:t>尾注</w:t>
      </w:r>
      <w:proofErr w:type="gramEnd"/>
      <w:r w:rsidRPr="005139EB">
        <w:rPr>
          <w:rFonts w:ascii="仿宋" w:eastAsia="仿宋" w:hAnsi="仿宋" w:hint="eastAsia"/>
          <w:sz w:val="24"/>
        </w:rPr>
        <w:t>等除外。</w:t>
      </w:r>
    </w:p>
    <w:p w14:paraId="3F69AA2E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（三）平台提交</w:t>
      </w:r>
    </w:p>
    <w:p w14:paraId="53B285A5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5139EB">
        <w:rPr>
          <w:rFonts w:ascii="仿宋" w:eastAsia="仿宋" w:hAnsi="仿宋" w:hint="eastAsia"/>
          <w:kern w:val="2"/>
        </w:rPr>
        <w:t>1</w:t>
      </w:r>
      <w:r w:rsidRPr="005139EB">
        <w:rPr>
          <w:rFonts w:ascii="仿宋" w:eastAsia="仿宋" w:hAnsi="仿宋"/>
          <w:kern w:val="2"/>
        </w:rPr>
        <w:t>.</w:t>
      </w:r>
      <w:r w:rsidRPr="005139EB">
        <w:rPr>
          <w:rFonts w:ascii="仿宋" w:eastAsia="仿宋" w:hAnsi="仿宋" w:hint="eastAsia"/>
          <w:kern w:val="2"/>
        </w:rPr>
        <w:t>学生须在</w:t>
      </w:r>
      <w:r w:rsidRPr="005139EB">
        <w:rPr>
          <w:rFonts w:ascii="仿宋" w:eastAsia="仿宋" w:hAnsi="仿宋"/>
          <w:kern w:val="2"/>
        </w:rPr>
        <w:t>规定时间内</w:t>
      </w:r>
      <w:r w:rsidRPr="005139EB">
        <w:rPr>
          <w:rFonts w:ascii="仿宋" w:eastAsia="仿宋" w:hAnsi="仿宋" w:hint="eastAsia"/>
          <w:kern w:val="2"/>
        </w:rPr>
        <w:t>提交毕业论文选题、提纲、初稿、修改稿、终稿等，并通过论文写作</w:t>
      </w:r>
      <w:proofErr w:type="gramStart"/>
      <w:r w:rsidRPr="005139EB">
        <w:rPr>
          <w:rFonts w:ascii="仿宋" w:eastAsia="仿宋" w:hAnsi="仿宋" w:hint="eastAsia"/>
          <w:kern w:val="2"/>
        </w:rPr>
        <w:t>提问</w:t>
      </w:r>
      <w:r w:rsidRPr="005139EB">
        <w:rPr>
          <w:rFonts w:ascii="仿宋" w:eastAsia="仿宋" w:hAnsi="仿宋"/>
          <w:kern w:val="2"/>
        </w:rPr>
        <w:t>区</w:t>
      </w:r>
      <w:proofErr w:type="gramEnd"/>
      <w:r w:rsidRPr="005139EB">
        <w:rPr>
          <w:rFonts w:ascii="仿宋" w:eastAsia="仿宋" w:hAnsi="仿宋"/>
          <w:kern w:val="2"/>
        </w:rPr>
        <w:t>或邮件形式</w:t>
      </w:r>
      <w:r w:rsidRPr="005139EB">
        <w:rPr>
          <w:rFonts w:ascii="仿宋" w:eastAsia="仿宋" w:hAnsi="仿宋" w:hint="eastAsia"/>
          <w:kern w:val="2"/>
        </w:rPr>
        <w:t>与论文指导教师实现交流互动。</w:t>
      </w:r>
      <w:r w:rsidRPr="005139EB">
        <w:rPr>
          <w:rFonts w:ascii="仿宋" w:eastAsia="仿宋" w:hAnsi="仿宋" w:hint="eastAsia"/>
        </w:rPr>
        <w:t>原则上每位选课学生最多安排2次指导教师，超过2次后，学生根据前两次指导教师意见和建议自行修改并提交终稿，由学院组织教师进行终审。</w:t>
      </w:r>
    </w:p>
    <w:p w14:paraId="02BDEA1B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论文必须以</w:t>
      </w:r>
      <w:r w:rsidRPr="005139EB">
        <w:rPr>
          <w:rFonts w:ascii="仿宋" w:eastAsia="仿宋" w:hAnsi="仿宋"/>
          <w:sz w:val="24"/>
        </w:rPr>
        <w:t>附件</w:t>
      </w:r>
      <w:r w:rsidRPr="005139EB">
        <w:rPr>
          <w:rFonts w:ascii="仿宋" w:eastAsia="仿宋" w:hAnsi="仿宋" w:hint="eastAsia"/>
          <w:sz w:val="24"/>
        </w:rPr>
        <w:t>（word文档）的</w:t>
      </w:r>
      <w:r w:rsidRPr="005139EB">
        <w:rPr>
          <w:rFonts w:ascii="仿宋" w:eastAsia="仿宋" w:hAnsi="仿宋"/>
          <w:sz w:val="24"/>
        </w:rPr>
        <w:t>形式</w:t>
      </w:r>
      <w:r w:rsidRPr="005139EB">
        <w:rPr>
          <w:rFonts w:ascii="仿宋" w:eastAsia="仿宋" w:hAnsi="仿宋" w:hint="eastAsia"/>
          <w:sz w:val="24"/>
        </w:rPr>
        <w:t>上传平台，不得</w:t>
      </w:r>
      <w:r w:rsidRPr="005139EB">
        <w:rPr>
          <w:rFonts w:ascii="仿宋" w:eastAsia="仿宋" w:hAnsi="仿宋"/>
          <w:sz w:val="24"/>
        </w:rPr>
        <w:t>使用压缩文件或PDF、WPS等格式上传</w:t>
      </w:r>
      <w:r w:rsidRPr="005139EB">
        <w:rPr>
          <w:rFonts w:ascii="仿宋" w:eastAsia="仿宋" w:hAnsi="仿宋" w:hint="eastAsia"/>
          <w:sz w:val="24"/>
        </w:rPr>
        <w:t>。</w:t>
      </w:r>
    </w:p>
    <w:p w14:paraId="4ACAB525" w14:textId="77777777" w:rsidR="003E640A" w:rsidRPr="00C66951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Pr="00C66951">
        <w:rPr>
          <w:rFonts w:ascii="仿宋" w:eastAsia="仿宋" w:hAnsi="仿宋" w:hint="eastAsia"/>
          <w:sz w:val="24"/>
        </w:rPr>
        <w:t>．</w:t>
      </w:r>
      <w:r w:rsidRPr="00CC0D31">
        <w:rPr>
          <w:rFonts w:ascii="仿宋" w:eastAsia="仿宋" w:hAnsi="仿宋" w:hint="eastAsia"/>
          <w:sz w:val="24"/>
        </w:rPr>
        <w:t>凡</w:t>
      </w:r>
      <w:r>
        <w:rPr>
          <w:rFonts w:ascii="仿宋" w:eastAsia="仿宋" w:hAnsi="仿宋" w:hint="eastAsia"/>
          <w:sz w:val="24"/>
        </w:rPr>
        <w:t>提交的论文</w:t>
      </w:r>
      <w:r w:rsidRPr="00CC0D31">
        <w:rPr>
          <w:rFonts w:ascii="仿宋" w:eastAsia="仿宋" w:hAnsi="仿宋" w:hint="eastAsia"/>
          <w:sz w:val="24"/>
        </w:rPr>
        <w:t>与他人论文、著作</w:t>
      </w:r>
      <w:r>
        <w:rPr>
          <w:rFonts w:ascii="仿宋" w:eastAsia="仿宋" w:hAnsi="仿宋" w:hint="eastAsia"/>
          <w:sz w:val="24"/>
        </w:rPr>
        <w:t>等重复</w:t>
      </w:r>
      <w:r w:rsidRPr="00CC0D31">
        <w:rPr>
          <w:rFonts w:ascii="仿宋" w:eastAsia="仿宋" w:hAnsi="仿宋" w:hint="eastAsia"/>
          <w:sz w:val="24"/>
        </w:rPr>
        <w:t>字数超过正文字数的30%</w:t>
      </w:r>
      <w:r>
        <w:rPr>
          <w:rFonts w:ascii="仿宋" w:eastAsia="仿宋" w:hAnsi="仿宋" w:hint="eastAsia"/>
          <w:sz w:val="24"/>
        </w:rPr>
        <w:t>（</w:t>
      </w:r>
      <w:r w:rsidRPr="00E56191">
        <w:rPr>
          <w:rFonts w:ascii="仿宋" w:eastAsia="仿宋" w:hAnsi="仿宋" w:hint="eastAsia"/>
          <w:sz w:val="24"/>
        </w:rPr>
        <w:t>R＞30%</w:t>
      </w:r>
      <w:r>
        <w:rPr>
          <w:rFonts w:ascii="仿宋" w:eastAsia="仿宋" w:hAnsi="仿宋" w:hint="eastAsia"/>
          <w:sz w:val="24"/>
        </w:rPr>
        <w:t>，R为论文总相似比），认定为抄袭，成绩不合格。</w:t>
      </w:r>
      <w:r w:rsidRPr="00C66951">
        <w:rPr>
          <w:rFonts w:ascii="仿宋" w:eastAsia="仿宋" w:hAnsi="仿宋"/>
          <w:sz w:val="24"/>
        </w:rPr>
        <w:t xml:space="preserve"> </w:t>
      </w:r>
    </w:p>
    <w:p w14:paraId="5D943425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论文写作时间截止前</w:t>
      </w:r>
      <w:r w:rsidRPr="005139EB">
        <w:rPr>
          <w:rFonts w:ascii="仿宋" w:eastAsia="仿宋" w:hAnsi="仿宋"/>
          <w:sz w:val="24"/>
        </w:rPr>
        <w:t>1</w:t>
      </w:r>
      <w:r w:rsidRPr="005139EB">
        <w:rPr>
          <w:rFonts w:ascii="仿宋" w:eastAsia="仿宋" w:hAnsi="仿宋" w:hint="eastAsia"/>
          <w:sz w:val="24"/>
        </w:rPr>
        <w:t>周，凡未提交论文选题、提纲和论文初稿者，将关闭平台论文提交功能。</w:t>
      </w:r>
    </w:p>
    <w:p w14:paraId="19A148E9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left="200" w:firstLineChars="100" w:firstLine="241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三、答辩　</w:t>
      </w: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4961"/>
      </w:tblGrid>
      <w:tr w:rsidR="003E640A" w:rsidRPr="005139EB" w14:paraId="36713E00" w14:textId="77777777" w:rsidTr="00AE47CC">
        <w:trPr>
          <w:jc w:val="center"/>
        </w:trPr>
        <w:tc>
          <w:tcPr>
            <w:tcW w:w="704" w:type="dxa"/>
            <w:vAlign w:val="center"/>
          </w:tcPr>
          <w:p w14:paraId="5B76C179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答辩形式</w:t>
            </w:r>
          </w:p>
        </w:tc>
        <w:tc>
          <w:tcPr>
            <w:tcW w:w="1276" w:type="dxa"/>
            <w:vAlign w:val="center"/>
          </w:tcPr>
          <w:p w14:paraId="75E92CF3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参与条件</w:t>
            </w:r>
          </w:p>
        </w:tc>
        <w:tc>
          <w:tcPr>
            <w:tcW w:w="2268" w:type="dxa"/>
            <w:vAlign w:val="center"/>
          </w:tcPr>
          <w:p w14:paraId="0D6E58FF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参与方式</w:t>
            </w:r>
          </w:p>
        </w:tc>
        <w:tc>
          <w:tcPr>
            <w:tcW w:w="4961" w:type="dxa"/>
            <w:vAlign w:val="center"/>
          </w:tcPr>
          <w:p w14:paraId="5D58E5B5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具体要求</w:t>
            </w:r>
          </w:p>
        </w:tc>
      </w:tr>
      <w:tr w:rsidR="003E640A" w:rsidRPr="005139EB" w14:paraId="5585D729" w14:textId="77777777" w:rsidTr="00AE47CC">
        <w:trPr>
          <w:trHeight w:val="1954"/>
          <w:jc w:val="center"/>
        </w:trPr>
        <w:tc>
          <w:tcPr>
            <w:tcW w:w="704" w:type="dxa"/>
            <w:vAlign w:val="center"/>
          </w:tcPr>
          <w:p w14:paraId="31645965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线上线下混合式集中答辩</w:t>
            </w:r>
          </w:p>
        </w:tc>
        <w:tc>
          <w:tcPr>
            <w:tcW w:w="1276" w:type="dxa"/>
            <w:vAlign w:val="center"/>
          </w:tcPr>
          <w:p w14:paraId="71C657E6" w14:textId="77777777" w:rsidR="003E640A" w:rsidRPr="005139EB" w:rsidRDefault="003E640A" w:rsidP="00AE47CC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sz w:val="21"/>
                <w:szCs w:val="21"/>
              </w:rPr>
              <w:t>论文总相似比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R</w:t>
            </w:r>
            <w:r w:rsidRPr="005139EB">
              <w:rPr>
                <w:rFonts w:ascii="仿宋" w:eastAsia="仿宋" w:hAnsi="仿宋" w:hint="eastAsia"/>
                <w:sz w:val="21"/>
                <w:szCs w:val="21"/>
              </w:rPr>
              <w:t>≤</w:t>
            </w:r>
            <w:r>
              <w:rPr>
                <w:rFonts w:ascii="仿宋" w:eastAsia="仿宋" w:hAnsi="仿宋"/>
                <w:sz w:val="21"/>
                <w:szCs w:val="21"/>
              </w:rPr>
              <w:t>30</w:t>
            </w:r>
            <w:r w:rsidRPr="005139EB">
              <w:rPr>
                <w:rFonts w:ascii="仿宋" w:eastAsia="仿宋" w:hAnsi="仿宋" w:hint="eastAsia"/>
                <w:sz w:val="21"/>
                <w:szCs w:val="21"/>
              </w:rPr>
              <w:t>%，且初评建议良好及以上者</w:t>
            </w:r>
            <w:r w:rsidRPr="005139EB">
              <w:rPr>
                <w:rFonts w:ascii="仿宋" w:eastAsia="仿宋" w:hAnsi="仿宋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126F515" w14:textId="77777777" w:rsidR="003E640A" w:rsidRPr="005139EB" w:rsidRDefault="003E640A" w:rsidP="00AE47CC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sz w:val="21"/>
                <w:szCs w:val="21"/>
              </w:rPr>
              <w:t>在京学习中心答辩学生到学院进行现场答辩；非在京学习中心答辩学生参加视频答辩。</w:t>
            </w:r>
          </w:p>
        </w:tc>
        <w:tc>
          <w:tcPr>
            <w:tcW w:w="4961" w:type="dxa"/>
          </w:tcPr>
          <w:p w14:paraId="2E952170" w14:textId="77777777" w:rsidR="003E640A" w:rsidRPr="00347E78" w:rsidRDefault="003E640A" w:rsidP="00AE47CC">
            <w:pPr>
              <w:pStyle w:val="4"/>
              <w:spacing w:line="240" w:lineRule="auto"/>
              <w:ind w:firstLine="440"/>
              <w:rPr>
                <w:b/>
                <w:sz w:val="22"/>
              </w:rPr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1</w:t>
            </w:r>
            <w:r w:rsidRPr="00347E78">
              <w:rPr>
                <w:rFonts w:hint="eastAsia"/>
                <w:sz w:val="22"/>
              </w:rPr>
              <w:t>）</w:t>
            </w:r>
            <w:r w:rsidRPr="00347E78">
              <w:rPr>
                <w:sz w:val="22"/>
              </w:rPr>
              <w:t>答辩</w:t>
            </w:r>
            <w:r w:rsidRPr="00347E78">
              <w:rPr>
                <w:rFonts w:hint="eastAsia"/>
                <w:sz w:val="22"/>
              </w:rPr>
              <w:t>日程</w:t>
            </w:r>
            <w:r w:rsidRPr="00347E78">
              <w:rPr>
                <w:sz w:val="22"/>
              </w:rPr>
              <w:t>、</w:t>
            </w:r>
            <w:r w:rsidRPr="00347E78">
              <w:rPr>
                <w:rFonts w:hint="eastAsia"/>
                <w:sz w:val="22"/>
              </w:rPr>
              <w:t>答辩</w:t>
            </w:r>
            <w:r w:rsidRPr="00347E78">
              <w:rPr>
                <w:sz w:val="22"/>
              </w:rPr>
              <w:t>地点</w:t>
            </w:r>
            <w:r w:rsidRPr="00347E78">
              <w:rPr>
                <w:rFonts w:hint="eastAsia"/>
                <w:sz w:val="22"/>
              </w:rPr>
              <w:t>、答辩方式及</w:t>
            </w:r>
            <w:r w:rsidRPr="00347E78">
              <w:rPr>
                <w:sz w:val="22"/>
              </w:rPr>
              <w:t>答辩相关</w:t>
            </w:r>
            <w:r w:rsidRPr="00347E78">
              <w:rPr>
                <w:rFonts w:hint="eastAsia"/>
                <w:sz w:val="22"/>
              </w:rPr>
              <w:t>要求等内容会以通知形式进行发布，学生需按要求做好准备。</w:t>
            </w:r>
          </w:p>
          <w:p w14:paraId="2A30945D" w14:textId="77777777" w:rsidR="003E640A" w:rsidRPr="00347E78" w:rsidRDefault="003E640A" w:rsidP="00AE47CC">
            <w:pPr>
              <w:pStyle w:val="4"/>
              <w:spacing w:line="240" w:lineRule="auto"/>
              <w:ind w:firstLine="440"/>
              <w:rPr>
                <w:b/>
                <w:sz w:val="22"/>
              </w:rPr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2</w:t>
            </w:r>
            <w:r w:rsidRPr="00347E78">
              <w:rPr>
                <w:rFonts w:hint="eastAsia"/>
                <w:sz w:val="22"/>
              </w:rPr>
              <w:t>）答辩委员会至少</w:t>
            </w:r>
            <w:r w:rsidRPr="00347E78">
              <w:rPr>
                <w:sz w:val="22"/>
              </w:rPr>
              <w:t>3</w:t>
            </w:r>
            <w:r w:rsidRPr="00347E78">
              <w:rPr>
                <w:rFonts w:hint="eastAsia"/>
                <w:sz w:val="22"/>
              </w:rPr>
              <w:t>人组成，答辩主席要求必须有副教授以上职称。答辩委员要求具有博士研究生学历，或具有中级及以上职称。</w:t>
            </w:r>
          </w:p>
          <w:p w14:paraId="24B882FD" w14:textId="77777777" w:rsidR="003E640A" w:rsidRPr="002669F0" w:rsidRDefault="003E640A" w:rsidP="00AE47CC">
            <w:pPr>
              <w:pStyle w:val="4"/>
              <w:spacing w:line="240" w:lineRule="auto"/>
              <w:ind w:firstLine="440"/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3</w:t>
            </w:r>
            <w:r w:rsidRPr="00347E78">
              <w:rPr>
                <w:rFonts w:hint="eastAsia"/>
                <w:sz w:val="22"/>
              </w:rPr>
              <w:t>）</w:t>
            </w:r>
            <w:r w:rsidRPr="00347E78">
              <w:rPr>
                <w:sz w:val="22"/>
              </w:rPr>
              <w:t>每位学生的答辩时间一般为 10 分钟，答辩过程记录在“答辩记录表”中。</w:t>
            </w:r>
          </w:p>
        </w:tc>
      </w:tr>
    </w:tbl>
    <w:p w14:paraId="0A9C2307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注：如</w:t>
      </w:r>
      <w:proofErr w:type="gramStart"/>
      <w:r w:rsidRPr="005139EB">
        <w:rPr>
          <w:rFonts w:ascii="仿宋" w:eastAsia="仿宋" w:hAnsi="仿宋" w:hint="eastAsia"/>
          <w:sz w:val="24"/>
        </w:rPr>
        <w:t>遇政策</w:t>
      </w:r>
      <w:proofErr w:type="gramEnd"/>
      <w:r w:rsidRPr="005139EB">
        <w:rPr>
          <w:rFonts w:ascii="仿宋" w:eastAsia="仿宋" w:hAnsi="仿宋" w:hint="eastAsia"/>
          <w:sz w:val="24"/>
        </w:rPr>
        <w:t>变化，以当批次答辩通知相关要求为准。</w:t>
      </w:r>
    </w:p>
    <w:p w14:paraId="22F882EF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left="200"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四、成绩评定</w:t>
      </w:r>
    </w:p>
    <w:p w14:paraId="32C3D7ED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kern w:val="2"/>
        </w:rPr>
      </w:pPr>
      <w:r w:rsidRPr="005139EB">
        <w:rPr>
          <w:rFonts w:ascii="仿宋" w:eastAsia="仿宋" w:hAnsi="仿宋"/>
          <w:kern w:val="2"/>
        </w:rPr>
        <w:t>1.成绩评定采取</w:t>
      </w:r>
      <w:r w:rsidRPr="005139EB">
        <w:rPr>
          <w:rFonts w:ascii="仿宋" w:eastAsia="仿宋" w:hAnsi="仿宋" w:hint="eastAsia"/>
          <w:kern w:val="2"/>
        </w:rPr>
        <w:t>四</w:t>
      </w:r>
      <w:r w:rsidRPr="005139EB">
        <w:rPr>
          <w:rFonts w:ascii="仿宋" w:eastAsia="仿宋" w:hAnsi="仿宋"/>
          <w:kern w:val="2"/>
        </w:rPr>
        <w:t>级记分制，即：</w:t>
      </w:r>
      <w:r w:rsidRPr="005139EB">
        <w:rPr>
          <w:rFonts w:ascii="仿宋" w:eastAsia="仿宋" w:hAnsi="仿宋" w:hint="eastAsia"/>
          <w:kern w:val="2"/>
        </w:rPr>
        <w:t>优秀</w:t>
      </w:r>
      <w:r w:rsidRPr="005139EB">
        <w:rPr>
          <w:rFonts w:ascii="仿宋" w:eastAsia="仿宋" w:hAnsi="仿宋"/>
          <w:kern w:val="2"/>
        </w:rPr>
        <w:t>、</w:t>
      </w:r>
      <w:r w:rsidRPr="005139EB">
        <w:rPr>
          <w:rFonts w:ascii="仿宋" w:eastAsia="仿宋" w:hAnsi="仿宋" w:hint="eastAsia"/>
          <w:kern w:val="2"/>
        </w:rPr>
        <w:t>良好</w:t>
      </w:r>
      <w:r w:rsidRPr="005139EB">
        <w:rPr>
          <w:rFonts w:ascii="仿宋" w:eastAsia="仿宋" w:hAnsi="仿宋"/>
          <w:kern w:val="2"/>
        </w:rPr>
        <w:t>、</w:t>
      </w:r>
      <w:r w:rsidRPr="005139EB">
        <w:rPr>
          <w:rFonts w:ascii="仿宋" w:eastAsia="仿宋" w:hAnsi="仿宋" w:hint="eastAsia"/>
          <w:kern w:val="2"/>
        </w:rPr>
        <w:t>合</w:t>
      </w:r>
      <w:r w:rsidRPr="005139EB">
        <w:rPr>
          <w:rFonts w:ascii="仿宋" w:eastAsia="仿宋" w:hAnsi="仿宋"/>
          <w:kern w:val="2"/>
        </w:rPr>
        <w:t>格、</w:t>
      </w:r>
      <w:r w:rsidRPr="005139EB">
        <w:rPr>
          <w:rFonts w:ascii="仿宋" w:eastAsia="仿宋" w:hAnsi="仿宋" w:hint="eastAsia"/>
          <w:kern w:val="2"/>
        </w:rPr>
        <w:t>不合格</w:t>
      </w:r>
      <w:r w:rsidRPr="005139EB">
        <w:rPr>
          <w:rFonts w:ascii="仿宋" w:eastAsia="仿宋" w:hAnsi="仿宋"/>
          <w:kern w:val="2"/>
        </w:rPr>
        <w:t>。</w:t>
      </w:r>
    </w:p>
    <w:p w14:paraId="1E3F756B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2.指导教师根据学生论文质量和</w:t>
      </w:r>
      <w:r w:rsidRPr="005139EB">
        <w:rPr>
          <w:rFonts w:ascii="仿宋" w:eastAsia="仿宋" w:hAnsi="仿宋" w:hint="eastAsia"/>
          <w:sz w:val="24"/>
        </w:rPr>
        <w:t>《补充说明》中的“</w:t>
      </w:r>
      <w:r w:rsidRPr="005139EB">
        <w:rPr>
          <w:rFonts w:ascii="仿宋" w:eastAsia="仿宋" w:hAnsi="仿宋"/>
          <w:sz w:val="24"/>
        </w:rPr>
        <w:t>本科毕业论文成绩评定标准</w:t>
      </w:r>
      <w:r w:rsidRPr="005139EB">
        <w:rPr>
          <w:rFonts w:ascii="仿宋" w:eastAsia="仿宋" w:hAnsi="仿宋" w:hint="eastAsia"/>
          <w:sz w:val="24"/>
        </w:rPr>
        <w:t>”</w:t>
      </w:r>
      <w:r w:rsidRPr="005139EB">
        <w:rPr>
          <w:rFonts w:ascii="仿宋" w:eastAsia="仿宋" w:hAnsi="仿宋"/>
          <w:sz w:val="24"/>
        </w:rPr>
        <w:t>，评阅毕业论文，写出论文评语，</w:t>
      </w:r>
      <w:r w:rsidRPr="005139EB">
        <w:rPr>
          <w:rFonts w:ascii="仿宋" w:eastAsia="仿宋" w:hAnsi="仿宋" w:hint="eastAsia"/>
          <w:sz w:val="24"/>
        </w:rPr>
        <w:t>并给出初评建议。根据初评建议确定答辩名单。</w:t>
      </w:r>
    </w:p>
    <w:p w14:paraId="038846F1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3.论文答辩</w:t>
      </w:r>
      <w:r w:rsidRPr="005139EB">
        <w:rPr>
          <w:rFonts w:ascii="仿宋" w:eastAsia="仿宋" w:hAnsi="仿宋" w:hint="eastAsia"/>
          <w:sz w:val="24"/>
        </w:rPr>
        <w:t>后</w:t>
      </w:r>
      <w:r w:rsidRPr="005139EB">
        <w:rPr>
          <w:rFonts w:ascii="仿宋" w:eastAsia="仿宋" w:hAnsi="仿宋"/>
          <w:sz w:val="24"/>
        </w:rPr>
        <w:t>，</w:t>
      </w:r>
      <w:r w:rsidRPr="005139EB">
        <w:rPr>
          <w:rFonts w:ascii="仿宋" w:eastAsia="仿宋" w:hAnsi="仿宋" w:hint="eastAsia"/>
          <w:sz w:val="24"/>
        </w:rPr>
        <w:t>答辩委员会</w:t>
      </w:r>
      <w:r w:rsidRPr="005139EB">
        <w:rPr>
          <w:rFonts w:ascii="仿宋" w:eastAsia="仿宋" w:hAnsi="仿宋"/>
          <w:sz w:val="24"/>
        </w:rPr>
        <w:t>根据“本科生毕业论文成绩评定标准”，</w:t>
      </w:r>
      <w:r w:rsidRPr="005139EB">
        <w:rPr>
          <w:rFonts w:ascii="仿宋" w:eastAsia="仿宋" w:hAnsi="仿宋" w:hint="eastAsia"/>
          <w:sz w:val="24"/>
        </w:rPr>
        <w:t>结合</w:t>
      </w:r>
      <w:r w:rsidRPr="005139EB">
        <w:rPr>
          <w:rFonts w:ascii="仿宋" w:eastAsia="仿宋" w:hAnsi="仿宋"/>
          <w:sz w:val="24"/>
        </w:rPr>
        <w:t>学生论文完成</w:t>
      </w:r>
      <w:r w:rsidRPr="005139EB">
        <w:rPr>
          <w:rFonts w:ascii="仿宋" w:eastAsia="仿宋" w:hAnsi="仿宋" w:hint="eastAsia"/>
          <w:sz w:val="24"/>
        </w:rPr>
        <w:t>情况、初评建议</w:t>
      </w:r>
      <w:r w:rsidRPr="005139EB">
        <w:rPr>
          <w:rFonts w:ascii="仿宋" w:eastAsia="仿宋" w:hAnsi="仿宋"/>
          <w:sz w:val="24"/>
        </w:rPr>
        <w:t>和答辩情况</w:t>
      </w:r>
      <w:r w:rsidRPr="005139EB">
        <w:rPr>
          <w:rFonts w:ascii="仿宋" w:eastAsia="仿宋" w:hAnsi="仿宋" w:hint="eastAsia"/>
          <w:sz w:val="24"/>
        </w:rPr>
        <w:t>，综合评定终评成绩。</w:t>
      </w:r>
    </w:p>
    <w:p w14:paraId="1E164074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lastRenderedPageBreak/>
        <w:t>注：</w:t>
      </w:r>
    </w:p>
    <w:p w14:paraId="56B35EC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 xml:space="preserve">初评建议“良好及以上”者，方可参加答辩，如放弃答辩，论文终评成绩以“合格”记录。 </w:t>
      </w:r>
      <w:r w:rsidRPr="005139EB">
        <w:rPr>
          <w:rFonts w:ascii="仿宋" w:eastAsia="仿宋" w:hAnsi="仿宋"/>
          <w:sz w:val="24"/>
        </w:rPr>
        <w:t xml:space="preserve"> </w:t>
      </w:r>
    </w:p>
    <w:p w14:paraId="3A47104B" w14:textId="77777777" w:rsidR="003E640A" w:rsidRPr="005139EB" w:rsidRDefault="003E640A" w:rsidP="003E640A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终评成绩“良好及以上”，是申请学士学位的条件之一。</w:t>
      </w:r>
    </w:p>
    <w:p w14:paraId="5348E297" w14:textId="77777777" w:rsidR="003E640A" w:rsidRPr="005139EB" w:rsidRDefault="003E640A" w:rsidP="003E640A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</w:t>
      </w:r>
      <w:r w:rsidRPr="005139EB">
        <w:rPr>
          <w:rFonts w:ascii="仿宋" w:eastAsia="仿宋" w:hAnsi="仿宋" w:hint="eastAsia"/>
          <w:sz w:val="24"/>
        </w:rPr>
        <w:t>终评成绩“不合格”，无法获得相应学分。</w:t>
      </w:r>
    </w:p>
    <w:p w14:paraId="2E29906D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五、 监控与管理</w:t>
      </w:r>
    </w:p>
    <w:p w14:paraId="0B9669B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管理</w:t>
      </w:r>
      <w:r w:rsidRPr="005139EB">
        <w:rPr>
          <w:rFonts w:ascii="仿宋" w:eastAsia="仿宋" w:hAnsi="仿宋"/>
          <w:sz w:val="24"/>
        </w:rPr>
        <w:t>人员</w:t>
      </w:r>
      <w:r w:rsidRPr="005139EB">
        <w:rPr>
          <w:rFonts w:ascii="仿宋" w:eastAsia="仿宋" w:hAnsi="仿宋" w:hint="eastAsia"/>
          <w:sz w:val="24"/>
        </w:rPr>
        <w:t>须通过教学平台，对学生论文写作提交和指导教师指导</w:t>
      </w:r>
      <w:r w:rsidRPr="005139EB">
        <w:rPr>
          <w:rFonts w:ascii="仿宋" w:eastAsia="仿宋" w:hAnsi="仿宋"/>
          <w:sz w:val="24"/>
        </w:rPr>
        <w:t>情况</w:t>
      </w:r>
      <w:r w:rsidRPr="005139EB">
        <w:rPr>
          <w:rFonts w:ascii="仿宋" w:eastAsia="仿宋" w:hAnsi="仿宋" w:hint="eastAsia"/>
          <w:sz w:val="24"/>
        </w:rPr>
        <w:t>进行监控，并做好督促和提醒工作，解决学生和指导教师遇到的问题。</w:t>
      </w:r>
    </w:p>
    <w:p w14:paraId="246222DE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第三章 专科毕业报告写作管理</w:t>
      </w:r>
    </w:p>
    <w:p w14:paraId="63E05784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专科毕业报告（以下简称“毕业报告”）是专科教学计划中最重要的教学环节之一，也是学生顺利毕业的前提条件。学生通过撰写毕业报告，使所学的基础理论和专业知识得到巩固和提高，并能在实际工作中加以运用。为</w:t>
      </w:r>
      <w:r w:rsidRPr="005139EB">
        <w:rPr>
          <w:rFonts w:ascii="仿宋" w:eastAsia="仿宋" w:hAnsi="仿宋"/>
          <w:sz w:val="24"/>
        </w:rPr>
        <w:t>规范毕业报告的写作程序和要求,</w:t>
      </w:r>
      <w:r w:rsidRPr="005139EB">
        <w:rPr>
          <w:rFonts w:ascii="仿宋" w:eastAsia="仿宋" w:hAnsi="仿宋" w:hint="eastAsia"/>
          <w:sz w:val="24"/>
        </w:rPr>
        <w:t>进一步提高学生毕业报告写作质量，学院根据网络教育专科教学计划的要求及学生学习实际情况，</w:t>
      </w:r>
      <w:r w:rsidRPr="005139EB">
        <w:rPr>
          <w:rFonts w:ascii="仿宋" w:eastAsia="仿宋" w:hAnsi="仿宋"/>
          <w:sz w:val="24"/>
        </w:rPr>
        <w:t>特</w:t>
      </w:r>
      <w:r w:rsidRPr="005139EB">
        <w:rPr>
          <w:rFonts w:ascii="仿宋" w:eastAsia="仿宋" w:hAnsi="仿宋" w:hint="eastAsia"/>
          <w:sz w:val="24"/>
        </w:rPr>
        <w:t>规定如下：</w:t>
      </w:r>
    </w:p>
    <w:p w14:paraId="308A5DFD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一、选课条件 </w:t>
      </w:r>
      <w:r w:rsidRPr="005139EB">
        <w:rPr>
          <w:rFonts w:ascii="仿宋" w:eastAsia="仿宋" w:hAnsi="仿宋"/>
          <w:b/>
          <w:bCs/>
        </w:rPr>
        <w:t xml:space="preserve">  </w:t>
      </w:r>
    </w:p>
    <w:p w14:paraId="4744702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1．正常在籍注册</w:t>
      </w:r>
      <w:proofErr w:type="gramStart"/>
      <w:r w:rsidRPr="005139EB">
        <w:rPr>
          <w:rFonts w:ascii="仿宋" w:eastAsia="仿宋" w:hAnsi="仿宋" w:hint="eastAsia"/>
          <w:sz w:val="24"/>
        </w:rPr>
        <w:t>高起专层次</w:t>
      </w:r>
      <w:proofErr w:type="gramEnd"/>
      <w:r w:rsidRPr="005139EB">
        <w:rPr>
          <w:rFonts w:ascii="仿宋" w:eastAsia="仿宋" w:hAnsi="仿宋" w:hint="eastAsia"/>
          <w:sz w:val="24"/>
        </w:rPr>
        <w:t>学生，学习时间已满两年，且已通过毕业报告的先修课程。</w:t>
      </w:r>
    </w:p>
    <w:p w14:paraId="278E64D3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2．以往参加过毕业报告写作且成绩不合格的学生，须按规定重新参加毕业报告选课。</w:t>
      </w:r>
    </w:p>
    <w:p w14:paraId="1CBECD65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注：学习中心必须在规定的时间内与学生做好是否参加写作的确认工作，并在平台对需要参加写作的学生进行选课。同时做好写作动员工作，确保学生的毕业报告写作能按期、按要求完成。</w:t>
      </w:r>
    </w:p>
    <w:p w14:paraId="5EDA4DE4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二、写作与格式要求</w:t>
      </w:r>
    </w:p>
    <w:p w14:paraId="77EB187D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 xml:space="preserve"> 根据教学计划规定，</w:t>
      </w:r>
      <w:proofErr w:type="gramStart"/>
      <w:r w:rsidRPr="005139EB">
        <w:rPr>
          <w:rFonts w:ascii="仿宋" w:eastAsia="仿宋" w:hAnsi="仿宋" w:hint="eastAsia"/>
          <w:sz w:val="24"/>
        </w:rPr>
        <w:t>高起专层次</w:t>
      </w:r>
      <w:proofErr w:type="gramEnd"/>
      <w:r w:rsidRPr="005139EB">
        <w:rPr>
          <w:rFonts w:ascii="仿宋" w:eastAsia="仿宋" w:hAnsi="仿宋" w:hint="eastAsia"/>
          <w:sz w:val="24"/>
        </w:rPr>
        <w:t>学生毕业前需撰写毕业报告。具体写作要求如下：</w:t>
      </w:r>
    </w:p>
    <w:p w14:paraId="11176C7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 xml:space="preserve"> 1．题目自拟，但应结合专业特点；可写成针对本专业的学习心得、学习总结、读书报告等形式；要求思路清晰，结构完整，语言顺畅，无错别字，字数不能少于2500字。</w:t>
      </w:r>
    </w:p>
    <w:p w14:paraId="4AAA0BF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</w:t>
      </w:r>
      <w:r w:rsidRPr="005139EB">
        <w:rPr>
          <w:rFonts w:ascii="仿宋" w:eastAsia="仿宋" w:hAnsi="仿宋" w:hint="eastAsia"/>
          <w:sz w:val="24"/>
        </w:rPr>
        <w:t>毕业报告由封面、题目、正文三个部分组成,各部分都应按统一的格式要</w:t>
      </w:r>
      <w:r w:rsidRPr="005139EB">
        <w:rPr>
          <w:rFonts w:ascii="仿宋" w:eastAsia="仿宋" w:hAnsi="仿宋" w:hint="eastAsia"/>
          <w:sz w:val="24"/>
        </w:rPr>
        <w:lastRenderedPageBreak/>
        <w:t>求进行规范，具体格式要求详见</w:t>
      </w:r>
      <w:r w:rsidRPr="005139EB">
        <w:rPr>
          <w:rFonts w:ascii="仿宋" w:eastAsia="仿宋" w:hAnsi="仿宋"/>
          <w:sz w:val="24"/>
        </w:rPr>
        <w:t>《</w:t>
      </w:r>
      <w:r w:rsidRPr="005139EB">
        <w:rPr>
          <w:rFonts w:ascii="仿宋" w:eastAsia="仿宋" w:hAnsi="仿宋" w:hint="eastAsia"/>
          <w:sz w:val="24"/>
        </w:rPr>
        <w:t>北京师范大学网络教育高起专毕业报告格式要求及范例</w:t>
      </w:r>
      <w:r w:rsidRPr="005139EB">
        <w:rPr>
          <w:rFonts w:ascii="仿宋" w:eastAsia="仿宋" w:hAnsi="仿宋"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。</w:t>
      </w:r>
    </w:p>
    <w:p w14:paraId="789AF087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三、写作与提交 </w:t>
      </w:r>
      <w:r w:rsidRPr="005139EB">
        <w:rPr>
          <w:rFonts w:ascii="仿宋" w:eastAsia="仿宋" w:hAnsi="仿宋"/>
          <w:b/>
          <w:bCs/>
        </w:rPr>
        <w:t xml:space="preserve">  </w:t>
      </w:r>
    </w:p>
    <w:p w14:paraId="6B0A6267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1．学生可以通过平台“论文公告”区和“论文</w:t>
      </w:r>
      <w:r w:rsidRPr="005139EB">
        <w:rPr>
          <w:rFonts w:ascii="仿宋" w:eastAsia="仿宋" w:hAnsi="仿宋"/>
          <w:sz w:val="24"/>
        </w:rPr>
        <w:t>资源</w:t>
      </w:r>
      <w:r w:rsidRPr="005139EB">
        <w:rPr>
          <w:rFonts w:ascii="仿宋" w:eastAsia="仿宋" w:hAnsi="仿宋" w:hint="eastAsia"/>
          <w:sz w:val="24"/>
        </w:rPr>
        <w:t>”区下载写作所需的相关资源，写作前务必仔细阅读本规定，并认真学习学院提供的相关资源。</w:t>
      </w:r>
    </w:p>
    <w:p w14:paraId="086DF0E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</w:t>
      </w:r>
      <w:proofErr w:type="gramStart"/>
      <w:r w:rsidRPr="005139EB">
        <w:rPr>
          <w:rFonts w:ascii="仿宋" w:eastAsia="仿宋" w:hAnsi="仿宋" w:hint="eastAsia"/>
          <w:sz w:val="24"/>
        </w:rPr>
        <w:t>高起专毕业</w:t>
      </w:r>
      <w:proofErr w:type="gramEnd"/>
      <w:r w:rsidRPr="005139EB">
        <w:rPr>
          <w:rFonts w:ascii="仿宋" w:eastAsia="仿宋" w:hAnsi="仿宋" w:hint="eastAsia"/>
          <w:sz w:val="24"/>
        </w:rPr>
        <w:t>报告由学生独立完成写作，整个过程中无选题和提纲提交环节。毕业报告题目在论文写作页面上方“论文题目”文本输入框中输入并提交，毕业报告文稿在“论文写作”区提交。</w:t>
      </w:r>
    </w:p>
    <w:p w14:paraId="7CBF552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3．毕业报告必须以Word格式进行</w:t>
      </w:r>
      <w:r w:rsidRPr="005139EB">
        <w:rPr>
          <w:rFonts w:ascii="仿宋" w:eastAsia="仿宋" w:hAnsi="仿宋"/>
          <w:sz w:val="24"/>
        </w:rPr>
        <w:t>写作，并</w:t>
      </w:r>
      <w:r w:rsidRPr="005139EB">
        <w:rPr>
          <w:rFonts w:ascii="仿宋" w:eastAsia="仿宋" w:hAnsi="仿宋" w:hint="eastAsia"/>
          <w:sz w:val="24"/>
        </w:rPr>
        <w:t>以</w:t>
      </w:r>
      <w:r w:rsidRPr="005139EB">
        <w:rPr>
          <w:rFonts w:ascii="仿宋" w:eastAsia="仿宋" w:hAnsi="仿宋"/>
          <w:sz w:val="24"/>
        </w:rPr>
        <w:t>附件形式</w:t>
      </w:r>
      <w:r w:rsidRPr="005139EB">
        <w:rPr>
          <w:rFonts w:ascii="仿宋" w:eastAsia="仿宋" w:hAnsi="仿宋" w:hint="eastAsia"/>
          <w:sz w:val="24"/>
        </w:rPr>
        <w:t>上传平台，不得</w:t>
      </w:r>
      <w:r w:rsidRPr="005139EB">
        <w:rPr>
          <w:rFonts w:ascii="仿宋" w:eastAsia="仿宋" w:hAnsi="仿宋"/>
          <w:sz w:val="24"/>
        </w:rPr>
        <w:t>使用压缩文件或</w:t>
      </w:r>
      <w:r w:rsidRPr="005139EB">
        <w:rPr>
          <w:rFonts w:ascii="仿宋" w:eastAsia="仿宋" w:hAnsi="仿宋" w:hint="eastAsia"/>
          <w:sz w:val="24"/>
        </w:rPr>
        <w:t>PDF、WPS等格式</w:t>
      </w:r>
      <w:r w:rsidRPr="005139EB">
        <w:rPr>
          <w:rFonts w:ascii="仿宋" w:eastAsia="仿宋" w:hAnsi="仿宋"/>
          <w:sz w:val="24"/>
        </w:rPr>
        <w:t>上传</w:t>
      </w:r>
      <w:r w:rsidRPr="005139EB">
        <w:rPr>
          <w:rFonts w:ascii="仿宋" w:eastAsia="仿宋" w:hAnsi="仿宋" w:hint="eastAsia"/>
          <w:sz w:val="24"/>
        </w:rPr>
        <w:t>。</w:t>
      </w:r>
    </w:p>
    <w:p w14:paraId="5333DDAA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四、成绩评定</w:t>
      </w:r>
    </w:p>
    <w:p w14:paraId="07CBAAB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</w:t>
      </w:r>
      <w:proofErr w:type="gramStart"/>
      <w:r w:rsidRPr="005139EB">
        <w:rPr>
          <w:rFonts w:ascii="仿宋" w:eastAsia="仿宋" w:hAnsi="仿宋" w:hint="eastAsia"/>
          <w:sz w:val="24"/>
        </w:rPr>
        <w:t>高起专毕业</w:t>
      </w:r>
      <w:proofErr w:type="gramEnd"/>
      <w:r w:rsidRPr="005139EB">
        <w:rPr>
          <w:rFonts w:ascii="仿宋" w:eastAsia="仿宋" w:hAnsi="仿宋" w:hint="eastAsia"/>
          <w:sz w:val="24"/>
        </w:rPr>
        <w:t>报告不安排指导教师，学院将统一安排质量审核并给出成绩。</w:t>
      </w:r>
    </w:p>
    <w:p w14:paraId="2B5FD2F1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2．毕业报告成绩评定标准：</w:t>
      </w:r>
    </w:p>
    <w:p w14:paraId="162C3973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（1）毕业报告是学生对本专业所学知识的思考与总结，要与专业所学知识相关，并且和实际应用相结合。</w:t>
      </w:r>
    </w:p>
    <w:p w14:paraId="39A4B8B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（2）严格按照</w:t>
      </w:r>
      <w:r w:rsidRPr="005139EB">
        <w:rPr>
          <w:rFonts w:ascii="仿宋" w:eastAsia="仿宋" w:hAnsi="仿宋"/>
          <w:sz w:val="24"/>
        </w:rPr>
        <w:t>《</w:t>
      </w:r>
      <w:r w:rsidRPr="005139EB">
        <w:rPr>
          <w:rFonts w:ascii="仿宋" w:eastAsia="仿宋" w:hAnsi="仿宋" w:hint="eastAsia"/>
          <w:sz w:val="24"/>
        </w:rPr>
        <w:t>北京师范大学网络教育高起专毕业报告格式要求及范例</w:t>
      </w:r>
      <w:r w:rsidRPr="005139EB">
        <w:rPr>
          <w:rFonts w:ascii="仿宋" w:eastAsia="仿宋" w:hAnsi="仿宋"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标准评定格式是否规范，凡格式不符合规定要求者，成绩评定为不合格。</w:t>
      </w:r>
    </w:p>
    <w:p w14:paraId="7F4EDFFA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（3）</w:t>
      </w:r>
      <w:proofErr w:type="gramStart"/>
      <w:r w:rsidRPr="005139EB">
        <w:rPr>
          <w:rFonts w:ascii="仿宋" w:eastAsia="仿宋" w:hAnsi="仿宋" w:hint="eastAsia"/>
          <w:sz w:val="24"/>
        </w:rPr>
        <w:t>须学生</w:t>
      </w:r>
      <w:proofErr w:type="gramEnd"/>
      <w:r w:rsidRPr="005139EB">
        <w:rPr>
          <w:rFonts w:ascii="仿宋" w:eastAsia="仿宋" w:hAnsi="仿宋"/>
          <w:sz w:val="24"/>
        </w:rPr>
        <w:t>本人</w:t>
      </w:r>
      <w:r w:rsidRPr="005139EB">
        <w:rPr>
          <w:rFonts w:ascii="仿宋" w:eastAsia="仿宋" w:hAnsi="仿宋" w:hint="eastAsia"/>
          <w:sz w:val="24"/>
        </w:rPr>
        <w:t>独立完成，若有抄袭</w:t>
      </w:r>
      <w:r w:rsidRPr="005139EB">
        <w:rPr>
          <w:rFonts w:ascii="仿宋" w:eastAsia="仿宋" w:hAnsi="仿宋"/>
          <w:sz w:val="24"/>
        </w:rPr>
        <w:t>字数超过全文</w:t>
      </w:r>
      <w:r w:rsidRPr="005139EB">
        <w:rPr>
          <w:rFonts w:ascii="仿宋" w:eastAsia="仿宋" w:hAnsi="仿宋" w:hint="eastAsia"/>
          <w:sz w:val="24"/>
        </w:rPr>
        <w:t>30</w:t>
      </w:r>
      <w:r w:rsidRPr="005139EB">
        <w:rPr>
          <w:rFonts w:ascii="仿宋" w:eastAsia="仿宋" w:hAnsi="仿宋"/>
          <w:sz w:val="24"/>
        </w:rPr>
        <w:t>%</w:t>
      </w:r>
      <w:r w:rsidRPr="005139EB">
        <w:rPr>
          <w:rFonts w:ascii="仿宋" w:eastAsia="仿宋" w:hAnsi="仿宋" w:hint="eastAsia"/>
          <w:sz w:val="24"/>
        </w:rPr>
        <w:t>、雷同等</w:t>
      </w:r>
      <w:r w:rsidRPr="005139EB">
        <w:rPr>
          <w:rFonts w:ascii="仿宋" w:eastAsia="仿宋" w:hAnsi="仿宋"/>
          <w:sz w:val="24"/>
        </w:rPr>
        <w:t>行为</w:t>
      </w:r>
      <w:r w:rsidRPr="005139EB">
        <w:rPr>
          <w:rFonts w:ascii="仿宋" w:eastAsia="仿宋" w:hAnsi="仿宋" w:hint="eastAsia"/>
          <w:sz w:val="24"/>
        </w:rPr>
        <w:t>均评定为不合格。</w:t>
      </w:r>
    </w:p>
    <w:p w14:paraId="0FF36D1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（4）毕业报告字数应为2500-</w:t>
      </w:r>
      <w:r w:rsidRPr="005139EB">
        <w:rPr>
          <w:rFonts w:ascii="仿宋" w:eastAsia="仿宋" w:hAnsi="仿宋"/>
          <w:sz w:val="24"/>
        </w:rPr>
        <w:t>5</w:t>
      </w:r>
      <w:r w:rsidRPr="005139EB">
        <w:rPr>
          <w:rFonts w:ascii="仿宋" w:eastAsia="仿宋" w:hAnsi="仿宋" w:hint="eastAsia"/>
          <w:sz w:val="24"/>
        </w:rPr>
        <w:t>000字，且无错别字。</w:t>
      </w:r>
    </w:p>
    <w:p w14:paraId="08ABC061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五、监控与管理</w:t>
      </w:r>
    </w:p>
    <w:p w14:paraId="3FFFFA3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管理人员对学生的稿件提交及其写作质量进行监控，解决写作过程中出现的问题，确保学生按时完成写作。</w:t>
      </w:r>
    </w:p>
    <w:p w14:paraId="5A2FEE6B" w14:textId="77777777" w:rsidR="003E640A" w:rsidRPr="005139EB" w:rsidRDefault="003E640A" w:rsidP="003E640A">
      <w:pPr>
        <w:rPr>
          <w:rFonts w:ascii="仿宋" w:eastAsia="仿宋" w:hAnsi="仿宋"/>
          <w:sz w:val="28"/>
          <w:szCs w:val="28"/>
        </w:rPr>
      </w:pPr>
      <w:r w:rsidRPr="005139EB">
        <w:rPr>
          <w:rFonts w:ascii="仿宋" w:eastAsia="仿宋" w:hAnsi="仿宋" w:hint="eastAsia"/>
          <w:sz w:val="28"/>
          <w:szCs w:val="28"/>
        </w:rPr>
        <w:t>第四章 附则</w:t>
      </w:r>
    </w:p>
    <w:p w14:paraId="7BDA6D2A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5139EB">
        <w:rPr>
          <w:rFonts w:ascii="仿宋" w:eastAsia="仿宋" w:hAnsi="仿宋" w:hint="eastAsia"/>
          <w:bCs/>
          <w:sz w:val="24"/>
        </w:rPr>
        <w:t>一、本办法自颁布之日起施行，原《北京师范大学网络教育毕业论文（报告）管理规定》同时废止。</w:t>
      </w:r>
    </w:p>
    <w:p w14:paraId="0B9306A2" w14:textId="22D0C14F" w:rsidR="00611A1A" w:rsidRPr="00F61E66" w:rsidRDefault="003E640A" w:rsidP="00C63BC1">
      <w:pPr>
        <w:spacing w:line="360" w:lineRule="auto"/>
        <w:ind w:firstLineChars="200" w:firstLine="480"/>
        <w:rPr>
          <w:rFonts w:hint="eastAsia"/>
        </w:rPr>
      </w:pPr>
      <w:r w:rsidRPr="005139EB">
        <w:rPr>
          <w:rFonts w:ascii="仿宋" w:eastAsia="仿宋" w:hAnsi="仿宋" w:hint="eastAsia"/>
          <w:bCs/>
          <w:sz w:val="24"/>
        </w:rPr>
        <w:t>二、本规定解释权归北京师范大学继续教育与教师培训学院。</w:t>
      </w:r>
      <w:bookmarkEnd w:id="1"/>
    </w:p>
    <w:sectPr w:rsidR="00611A1A" w:rsidRPr="00F61E66" w:rsidSect="0018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DE8F" w14:textId="77777777" w:rsidR="00ED7081" w:rsidRDefault="00ED7081" w:rsidP="00C70ACD">
      <w:r>
        <w:separator/>
      </w:r>
    </w:p>
  </w:endnote>
  <w:endnote w:type="continuationSeparator" w:id="0">
    <w:p w14:paraId="220925E6" w14:textId="77777777" w:rsidR="00ED7081" w:rsidRDefault="00ED7081" w:rsidP="00C7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8FF8" w14:textId="77777777" w:rsidR="00ED7081" w:rsidRDefault="00ED7081" w:rsidP="00C70ACD">
      <w:r>
        <w:separator/>
      </w:r>
    </w:p>
  </w:footnote>
  <w:footnote w:type="continuationSeparator" w:id="0">
    <w:p w14:paraId="4D3DC569" w14:textId="77777777" w:rsidR="00ED7081" w:rsidRDefault="00ED7081" w:rsidP="00C7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BEE"/>
    <w:multiLevelType w:val="hybridMultilevel"/>
    <w:tmpl w:val="415E1A8E"/>
    <w:lvl w:ilvl="0" w:tplc="C3BE01AA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481941"/>
    <w:multiLevelType w:val="hybridMultilevel"/>
    <w:tmpl w:val="7AA6AF1A"/>
    <w:lvl w:ilvl="0" w:tplc="217274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8573B"/>
    <w:multiLevelType w:val="hybridMultilevel"/>
    <w:tmpl w:val="E078E846"/>
    <w:lvl w:ilvl="0" w:tplc="A0B850D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6F4DC1"/>
    <w:multiLevelType w:val="hybridMultilevel"/>
    <w:tmpl w:val="D7FEADAE"/>
    <w:lvl w:ilvl="0" w:tplc="58E0028A">
      <w:start w:val="5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7E23B9E"/>
    <w:multiLevelType w:val="hybridMultilevel"/>
    <w:tmpl w:val="F2368344"/>
    <w:lvl w:ilvl="0" w:tplc="9E3280A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46243810">
      <w:start w:val="1"/>
      <w:numFmt w:val="japaneseCounting"/>
      <w:lvlText w:val="（%2）"/>
      <w:lvlJc w:val="left"/>
      <w:pPr>
        <w:ind w:left="1652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C350022"/>
    <w:multiLevelType w:val="hybridMultilevel"/>
    <w:tmpl w:val="DA102DA6"/>
    <w:lvl w:ilvl="0" w:tplc="F33C0CF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2A7D38"/>
    <w:multiLevelType w:val="hybridMultilevel"/>
    <w:tmpl w:val="89E0BAC6"/>
    <w:lvl w:ilvl="0" w:tplc="0234E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5F5F90"/>
    <w:multiLevelType w:val="hybridMultilevel"/>
    <w:tmpl w:val="9C529126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D844B1D"/>
    <w:multiLevelType w:val="hybridMultilevel"/>
    <w:tmpl w:val="0900989E"/>
    <w:lvl w:ilvl="0" w:tplc="4CDAA1BA">
      <w:start w:val="5"/>
      <w:numFmt w:val="japaneseCounting"/>
      <w:lvlText w:val="（%1）"/>
      <w:lvlJc w:val="left"/>
      <w:pPr>
        <w:ind w:left="123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62FF1D94"/>
    <w:multiLevelType w:val="hybridMultilevel"/>
    <w:tmpl w:val="769468C8"/>
    <w:lvl w:ilvl="0" w:tplc="83EA13AE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63BA205A"/>
    <w:multiLevelType w:val="hybridMultilevel"/>
    <w:tmpl w:val="C060CFBA"/>
    <w:lvl w:ilvl="0" w:tplc="AEB6E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E72CC8"/>
    <w:multiLevelType w:val="hybridMultilevel"/>
    <w:tmpl w:val="DF82237C"/>
    <w:lvl w:ilvl="0" w:tplc="8B4ED068">
      <w:start w:val="3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994796437">
    <w:abstractNumId w:val="5"/>
  </w:num>
  <w:num w:numId="2" w16cid:durableId="782958997">
    <w:abstractNumId w:val="6"/>
  </w:num>
  <w:num w:numId="3" w16cid:durableId="1638872877">
    <w:abstractNumId w:val="10"/>
  </w:num>
  <w:num w:numId="4" w16cid:durableId="1285574398">
    <w:abstractNumId w:val="11"/>
  </w:num>
  <w:num w:numId="5" w16cid:durableId="168103284">
    <w:abstractNumId w:val="1"/>
  </w:num>
  <w:num w:numId="6" w16cid:durableId="732196126">
    <w:abstractNumId w:val="2"/>
  </w:num>
  <w:num w:numId="7" w16cid:durableId="644043902">
    <w:abstractNumId w:val="3"/>
  </w:num>
  <w:num w:numId="8" w16cid:durableId="1438140063">
    <w:abstractNumId w:val="4"/>
  </w:num>
  <w:num w:numId="9" w16cid:durableId="1332761226">
    <w:abstractNumId w:val="8"/>
  </w:num>
  <w:num w:numId="10" w16cid:durableId="1253467468">
    <w:abstractNumId w:val="0"/>
  </w:num>
  <w:num w:numId="11" w16cid:durableId="487554929">
    <w:abstractNumId w:val="7"/>
  </w:num>
  <w:num w:numId="12" w16cid:durableId="562640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43"/>
    <w:rsid w:val="000327D6"/>
    <w:rsid w:val="000339B0"/>
    <w:rsid w:val="000457DE"/>
    <w:rsid w:val="00052957"/>
    <w:rsid w:val="000B11B4"/>
    <w:rsid w:val="000B1846"/>
    <w:rsid w:val="000D3C9A"/>
    <w:rsid w:val="0010742C"/>
    <w:rsid w:val="0011131F"/>
    <w:rsid w:val="00112243"/>
    <w:rsid w:val="00123A49"/>
    <w:rsid w:val="00165E59"/>
    <w:rsid w:val="001665D4"/>
    <w:rsid w:val="001814E0"/>
    <w:rsid w:val="00183C5A"/>
    <w:rsid w:val="00186EEF"/>
    <w:rsid w:val="00192FDD"/>
    <w:rsid w:val="00193C4B"/>
    <w:rsid w:val="001A5E47"/>
    <w:rsid w:val="001B0857"/>
    <w:rsid w:val="001B19F3"/>
    <w:rsid w:val="001C2BD7"/>
    <w:rsid w:val="001D3DFF"/>
    <w:rsid w:val="001E11EF"/>
    <w:rsid w:val="001F3FF7"/>
    <w:rsid w:val="00201D49"/>
    <w:rsid w:val="00204B70"/>
    <w:rsid w:val="00261519"/>
    <w:rsid w:val="00262F17"/>
    <w:rsid w:val="0026549F"/>
    <w:rsid w:val="00273C43"/>
    <w:rsid w:val="00290A33"/>
    <w:rsid w:val="002B55C0"/>
    <w:rsid w:val="002C178F"/>
    <w:rsid w:val="002D77F8"/>
    <w:rsid w:val="002E2C7A"/>
    <w:rsid w:val="002E7079"/>
    <w:rsid w:val="003016AD"/>
    <w:rsid w:val="0032775F"/>
    <w:rsid w:val="003570E6"/>
    <w:rsid w:val="003635E6"/>
    <w:rsid w:val="00374702"/>
    <w:rsid w:val="00395B8B"/>
    <w:rsid w:val="003C0D87"/>
    <w:rsid w:val="003C59A6"/>
    <w:rsid w:val="003D2BA7"/>
    <w:rsid w:val="003D36E7"/>
    <w:rsid w:val="003E1240"/>
    <w:rsid w:val="003E640A"/>
    <w:rsid w:val="0041398C"/>
    <w:rsid w:val="00414945"/>
    <w:rsid w:val="00416E0E"/>
    <w:rsid w:val="00436D0F"/>
    <w:rsid w:val="004613FB"/>
    <w:rsid w:val="0046692A"/>
    <w:rsid w:val="004B669C"/>
    <w:rsid w:val="004F3563"/>
    <w:rsid w:val="004F579B"/>
    <w:rsid w:val="00501B54"/>
    <w:rsid w:val="005320FD"/>
    <w:rsid w:val="005443D0"/>
    <w:rsid w:val="00545E34"/>
    <w:rsid w:val="005566C6"/>
    <w:rsid w:val="005A33CD"/>
    <w:rsid w:val="005A7474"/>
    <w:rsid w:val="005C3240"/>
    <w:rsid w:val="005E784C"/>
    <w:rsid w:val="005F1568"/>
    <w:rsid w:val="00611A1A"/>
    <w:rsid w:val="006248C0"/>
    <w:rsid w:val="006261B3"/>
    <w:rsid w:val="0063241D"/>
    <w:rsid w:val="00651BD3"/>
    <w:rsid w:val="0066157E"/>
    <w:rsid w:val="006A2AF3"/>
    <w:rsid w:val="006A65A0"/>
    <w:rsid w:val="006B3B04"/>
    <w:rsid w:val="006E25DA"/>
    <w:rsid w:val="006E79D7"/>
    <w:rsid w:val="006F0EAC"/>
    <w:rsid w:val="00705AF0"/>
    <w:rsid w:val="007136D0"/>
    <w:rsid w:val="00732564"/>
    <w:rsid w:val="00732897"/>
    <w:rsid w:val="0073563A"/>
    <w:rsid w:val="007573D0"/>
    <w:rsid w:val="007609E9"/>
    <w:rsid w:val="00765E06"/>
    <w:rsid w:val="00777010"/>
    <w:rsid w:val="007800B2"/>
    <w:rsid w:val="00781B76"/>
    <w:rsid w:val="007A2AD5"/>
    <w:rsid w:val="007B3827"/>
    <w:rsid w:val="007C4CD6"/>
    <w:rsid w:val="007D6920"/>
    <w:rsid w:val="007E0B9B"/>
    <w:rsid w:val="007E516B"/>
    <w:rsid w:val="007F4C6D"/>
    <w:rsid w:val="008007B9"/>
    <w:rsid w:val="0087221E"/>
    <w:rsid w:val="008A188A"/>
    <w:rsid w:val="008B4EEA"/>
    <w:rsid w:val="008B6570"/>
    <w:rsid w:val="008C3DCB"/>
    <w:rsid w:val="008C5DEF"/>
    <w:rsid w:val="008C66D8"/>
    <w:rsid w:val="008D1B48"/>
    <w:rsid w:val="008F2C77"/>
    <w:rsid w:val="00930EA1"/>
    <w:rsid w:val="00941851"/>
    <w:rsid w:val="0094423C"/>
    <w:rsid w:val="00965EFB"/>
    <w:rsid w:val="009857E4"/>
    <w:rsid w:val="00991C88"/>
    <w:rsid w:val="009A3DAD"/>
    <w:rsid w:val="009A6069"/>
    <w:rsid w:val="00A03F65"/>
    <w:rsid w:val="00A24588"/>
    <w:rsid w:val="00A427C6"/>
    <w:rsid w:val="00A84FC9"/>
    <w:rsid w:val="00A90D3F"/>
    <w:rsid w:val="00AE5EAA"/>
    <w:rsid w:val="00B029EF"/>
    <w:rsid w:val="00B27A2B"/>
    <w:rsid w:val="00B3448B"/>
    <w:rsid w:val="00B35AE2"/>
    <w:rsid w:val="00B66145"/>
    <w:rsid w:val="00B774A1"/>
    <w:rsid w:val="00B8632B"/>
    <w:rsid w:val="00BC69F9"/>
    <w:rsid w:val="00BD6313"/>
    <w:rsid w:val="00BE6A9A"/>
    <w:rsid w:val="00BF5CDA"/>
    <w:rsid w:val="00C0024D"/>
    <w:rsid w:val="00C071BE"/>
    <w:rsid w:val="00C20E92"/>
    <w:rsid w:val="00C430DD"/>
    <w:rsid w:val="00C51F6E"/>
    <w:rsid w:val="00C600B8"/>
    <w:rsid w:val="00C60BA1"/>
    <w:rsid w:val="00C63BC1"/>
    <w:rsid w:val="00C70ACD"/>
    <w:rsid w:val="00C86624"/>
    <w:rsid w:val="00C97C8C"/>
    <w:rsid w:val="00CB64DF"/>
    <w:rsid w:val="00CC1FEE"/>
    <w:rsid w:val="00CD7B3B"/>
    <w:rsid w:val="00CE41E6"/>
    <w:rsid w:val="00CF1A8A"/>
    <w:rsid w:val="00D008D6"/>
    <w:rsid w:val="00D131CD"/>
    <w:rsid w:val="00D2333F"/>
    <w:rsid w:val="00D34EA5"/>
    <w:rsid w:val="00D35FF8"/>
    <w:rsid w:val="00D45D88"/>
    <w:rsid w:val="00D63ED4"/>
    <w:rsid w:val="00D64CCC"/>
    <w:rsid w:val="00D66800"/>
    <w:rsid w:val="00D76F1E"/>
    <w:rsid w:val="00D8038F"/>
    <w:rsid w:val="00D859DD"/>
    <w:rsid w:val="00DA118C"/>
    <w:rsid w:val="00DE33DE"/>
    <w:rsid w:val="00DE40F5"/>
    <w:rsid w:val="00DE5182"/>
    <w:rsid w:val="00DF2A26"/>
    <w:rsid w:val="00E06882"/>
    <w:rsid w:val="00E15FEE"/>
    <w:rsid w:val="00E16DBB"/>
    <w:rsid w:val="00E20666"/>
    <w:rsid w:val="00E25CE7"/>
    <w:rsid w:val="00E44DB4"/>
    <w:rsid w:val="00E56191"/>
    <w:rsid w:val="00E66C60"/>
    <w:rsid w:val="00E77276"/>
    <w:rsid w:val="00E77A3F"/>
    <w:rsid w:val="00E862DE"/>
    <w:rsid w:val="00EA101E"/>
    <w:rsid w:val="00EB3494"/>
    <w:rsid w:val="00EB574A"/>
    <w:rsid w:val="00ED7081"/>
    <w:rsid w:val="00F24C65"/>
    <w:rsid w:val="00F30B3A"/>
    <w:rsid w:val="00F42690"/>
    <w:rsid w:val="00F61E66"/>
    <w:rsid w:val="00F67DF7"/>
    <w:rsid w:val="00F70560"/>
    <w:rsid w:val="00F76CB7"/>
    <w:rsid w:val="00F912BD"/>
    <w:rsid w:val="00F934EA"/>
    <w:rsid w:val="00FB7256"/>
    <w:rsid w:val="00FC2EDE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749E5"/>
  <w15:docId w15:val="{E8E50879-6784-4322-B0E3-A3E0C34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273C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273C4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273C4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4">
    <w:name w:val="4正文"/>
    <w:basedOn w:val="a"/>
    <w:autoRedefine/>
    <w:rsid w:val="001B19F3"/>
    <w:pPr>
      <w:spacing w:line="360" w:lineRule="auto"/>
      <w:ind w:firstLineChars="200" w:firstLine="480"/>
      <w:jc w:val="left"/>
    </w:pPr>
    <w:rPr>
      <w:rFonts w:ascii="仿宋" w:eastAsia="仿宋" w:hAnsi="仿宋"/>
      <w:sz w:val="24"/>
    </w:rPr>
  </w:style>
  <w:style w:type="paragraph" w:styleId="a4">
    <w:name w:val="header"/>
    <w:basedOn w:val="a"/>
    <w:link w:val="a5"/>
    <w:uiPriority w:val="99"/>
    <w:unhideWhenUsed/>
    <w:rsid w:val="00C7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A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AC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4C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4C6D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1A1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b">
    <w:name w:val="Strong"/>
    <w:basedOn w:val="a0"/>
    <w:uiPriority w:val="22"/>
    <w:qFormat/>
    <w:rsid w:val="009A3DAD"/>
    <w:rPr>
      <w:b/>
      <w:bCs/>
    </w:rPr>
  </w:style>
  <w:style w:type="paragraph" w:customStyle="1" w:styleId="vsbcontentend">
    <w:name w:val="vsbcontent_end"/>
    <w:basedOn w:val="a"/>
    <w:rsid w:val="009A3D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rsid w:val="007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635E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635E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635E6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35E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635E6"/>
    <w:rPr>
      <w:rFonts w:ascii="Times New Roman" w:eastAsia="宋体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5C324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97E-C7A7-443F-ADE4-B308E3ED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guanhaiyan</dc:creator>
  <cp:keywords/>
  <dc:description/>
  <cp:lastModifiedBy>张 建英</cp:lastModifiedBy>
  <cp:revision>14</cp:revision>
  <dcterms:created xsi:type="dcterms:W3CDTF">2022-11-23T03:15:00Z</dcterms:created>
  <dcterms:modified xsi:type="dcterms:W3CDTF">2022-12-22T11:51:00Z</dcterms:modified>
</cp:coreProperties>
</file>